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afterLines="50" w:line="560" w:lineRule="exact"/>
        <w:jc w:val="center"/>
        <w:outlineLvl w:val="0"/>
        <w:rPr>
          <w:b w:val="0"/>
          <w:color w:val="auto"/>
          <w:szCs w:val="44"/>
          <w:lang w:val="zh-CN"/>
        </w:rPr>
      </w:pPr>
      <w:bookmarkStart w:id="0" w:name="_Toc132190632"/>
      <w:bookmarkStart w:id="1" w:name="_Toc18809"/>
      <w:bookmarkStart w:id="2" w:name="_Toc128151025"/>
      <w:bookmarkStart w:id="3" w:name="_Toc12397"/>
      <w:bookmarkStart w:id="4" w:name="_Toc130886997"/>
      <w:bookmarkStart w:id="5" w:name="_Toc130657536"/>
      <w:bookmarkStart w:id="6" w:name="_Toc128150132"/>
      <w:bookmarkStart w:id="7" w:name="_Toc128150776"/>
      <w:bookmarkStart w:id="8" w:name="_Toc128397968"/>
      <w:bookmarkStart w:id="9" w:name="_Toc112317781"/>
      <w:bookmarkStart w:id="10" w:name="_Toc130887498"/>
      <w:bookmarkStart w:id="11" w:name="_Toc127820562"/>
      <w:bookmarkStart w:id="12" w:name="_Toc130657990"/>
      <w:bookmarkStart w:id="13" w:name="_Toc8647"/>
      <w:bookmarkStart w:id="14" w:name="_Toc29228"/>
      <w:bookmarkStart w:id="15" w:name="_Toc5855"/>
      <w:r>
        <w:rPr>
          <w:rFonts w:hint="eastAsia"/>
          <w:b w:val="0"/>
          <w:color w:val="auto"/>
          <w:szCs w:val="44"/>
          <w:lang w:val="zh-CN"/>
        </w:rPr>
        <w:t>第六章</w:t>
      </w:r>
      <w:r>
        <w:rPr>
          <w:rFonts w:hint="eastAsia"/>
          <w:b w:val="0"/>
          <w:color w:val="auto"/>
          <w:szCs w:val="44"/>
          <w:lang w:val="en-US" w:eastAsia="zh-CN"/>
        </w:rPr>
        <w:t xml:space="preserve"> </w:t>
      </w:r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16" w:name="_Toc22977"/>
      <w:bookmarkStart w:id="17" w:name="_Toc13753"/>
      <w:bookmarkStart w:id="18" w:name="_Toc112681847"/>
      <w:bookmarkStart w:id="19" w:name="_Toc21712"/>
      <w:bookmarkStart w:id="20" w:name="_Toc14060"/>
      <w:bookmarkStart w:id="21" w:name="_Toc128470294"/>
      <w:bookmarkStart w:id="22" w:name="_Toc112768493"/>
      <w:bookmarkStart w:id="23" w:name="_Toc32238"/>
      <w:bookmarkStart w:id="24" w:name="_Toc22203"/>
      <w:bookmarkStart w:id="25" w:name="_Toc13168"/>
      <w:bookmarkStart w:id="26" w:name="_Toc17189"/>
      <w:bookmarkStart w:id="27" w:name="_Toc25325"/>
      <w:bookmarkStart w:id="28" w:name="_Toc132191258"/>
      <w:bookmarkStart w:id="29" w:name="_Toc130888006"/>
      <w:bookmarkStart w:id="30" w:name="_Toc132186974"/>
      <w:bookmarkStart w:id="31" w:name="_Toc128154367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一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)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、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二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)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、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三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)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均为实质性响应条款，不接受负偏离）</w:t>
      </w:r>
    </w:p>
    <w:p>
      <w:pPr>
        <w:rPr>
          <w:rFonts w:hint="default"/>
          <w:lang w:val="en-US"/>
        </w:rPr>
      </w:pPr>
      <w:r>
        <w:rPr>
          <w:rFonts w:hint="eastAsia" w:ascii="黑体" w:hAnsi="黑体" w:cs="黑体"/>
          <w:b/>
          <w:bCs/>
          <w:sz w:val="28"/>
          <w:szCs w:val="28"/>
          <w:lang w:eastAsia="zh-CN"/>
        </w:rPr>
        <w:t>（一）经济要求：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2143"/>
        <w:gridCol w:w="4245"/>
        <w:gridCol w:w="1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交货时间、交货地点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付款及结算方式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物资到货（服务完成）验收后付90%，验收合格后满6个月后无质量问题支付剩余10%。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履约保证金/质量保证金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无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产品包装和运输要求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售后服务1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（质保）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售后服务2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（质保）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7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售后服务3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（质保）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提供不少于1人次、1天的工程师维修培训。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8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（响应时间）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维修响应时间≤2小时，维修到达现场时间≤8小时。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</w:tbl>
    <w:p>
      <w:pPr>
        <w:pStyle w:val="8"/>
        <w:spacing w:line="560" w:lineRule="exact"/>
        <w:ind w:left="0" w:leftChars="0" w:firstLine="0" w:firstLineChars="0"/>
        <w:rPr>
          <w:rFonts w:hint="eastAsia" w:ascii="黑体" w:hAnsi="黑体" w:eastAsia="宋体" w:cs="黑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宋体" w:cs="黑体"/>
          <w:b/>
          <w:bCs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黑体" w:hAnsi="黑体" w:cs="黑体"/>
          <w:b/>
          <w:bCs/>
          <w:kern w:val="2"/>
          <w:sz w:val="28"/>
          <w:szCs w:val="28"/>
          <w:lang w:val="en-US" w:eastAsia="zh-CN" w:bidi="ar-SA"/>
        </w:rPr>
        <w:t>二</w:t>
      </w:r>
      <w:r>
        <w:rPr>
          <w:rFonts w:hint="eastAsia" w:ascii="黑体" w:hAnsi="黑体" w:eastAsia="宋体" w:cs="黑体"/>
          <w:b/>
          <w:bCs/>
          <w:kern w:val="2"/>
          <w:sz w:val="28"/>
          <w:szCs w:val="28"/>
          <w:lang w:val="en-US" w:eastAsia="zh-CN" w:bidi="ar-SA"/>
        </w:rPr>
        <w:t>）知识产权和保密要求</w:t>
      </w:r>
      <w:r>
        <w:rPr>
          <w:rFonts w:hint="eastAsia" w:ascii="黑体" w:hAnsi="黑体" w:cs="黑体"/>
          <w:b/>
          <w:bCs/>
          <w:kern w:val="2"/>
          <w:sz w:val="28"/>
          <w:szCs w:val="28"/>
          <w:lang w:val="en-US" w:eastAsia="zh-CN" w:bidi="ar-SA"/>
        </w:rPr>
        <w:t>：</w:t>
      </w:r>
    </w:p>
    <w:p>
      <w:pPr>
        <w:pStyle w:val="8"/>
        <w:spacing w:line="560" w:lineRule="exact"/>
        <w:ind w:firstLine="560"/>
        <w:rPr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u w:val="singl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。</w:t>
      </w:r>
    </w:p>
    <w:p>
      <w:pPr>
        <w:pStyle w:val="8"/>
        <w:spacing w:line="560" w:lineRule="exact"/>
        <w:ind w:firstLine="560"/>
        <w:rPr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基于项目合同履行形成的知识产权和其他权益，其权属归采购单位所有，法律另有规定的除外。</w:t>
      </w:r>
    </w:p>
    <w:p>
      <w:pPr>
        <w:pStyle w:val="8"/>
        <w:spacing w:line="560" w:lineRule="exact"/>
        <w:ind w:left="0" w:leftChars="0" w:firstLine="0" w:firstLineChars="0"/>
        <w:rPr>
          <w:rFonts w:hint="eastAsia" w:ascii="黑体" w:hAnsi="黑体" w:eastAsia="宋体" w:cs="黑体"/>
          <w:b/>
          <w:bCs/>
          <w:kern w:val="2"/>
          <w:sz w:val="28"/>
          <w:szCs w:val="28"/>
          <w:lang w:val="zh-CN" w:eastAsia="zh-CN" w:bidi="ar-SA"/>
        </w:rPr>
      </w:pPr>
      <w:r>
        <w:rPr>
          <w:rFonts w:hint="eastAsia" w:ascii="黑体" w:hAnsi="黑体" w:eastAsia="宋体" w:cs="黑体"/>
          <w:b/>
          <w:bCs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黑体" w:hAnsi="黑体" w:cs="黑体"/>
          <w:b/>
          <w:bCs/>
          <w:kern w:val="2"/>
          <w:sz w:val="28"/>
          <w:szCs w:val="28"/>
          <w:lang w:val="zh-CN" w:eastAsia="zh-CN" w:bidi="ar-SA"/>
        </w:rPr>
        <w:t>三</w:t>
      </w:r>
      <w:r>
        <w:rPr>
          <w:rFonts w:hint="eastAsia" w:ascii="黑体" w:hAnsi="黑体" w:eastAsia="宋体" w:cs="黑体"/>
          <w:b/>
          <w:bCs/>
          <w:kern w:val="2"/>
          <w:sz w:val="28"/>
          <w:szCs w:val="28"/>
          <w:lang w:val="zh-CN" w:eastAsia="zh-CN" w:bidi="ar-SA"/>
        </w:rPr>
        <w:t>）物资编目编码、打码贴签要求</w:t>
      </w:r>
      <w:r>
        <w:rPr>
          <w:rFonts w:hint="eastAsia" w:ascii="黑体" w:hAnsi="黑体" w:cs="黑体"/>
          <w:b/>
          <w:bCs/>
          <w:kern w:val="2"/>
          <w:sz w:val="28"/>
          <w:szCs w:val="28"/>
          <w:lang w:val="zh-CN" w:eastAsia="zh-CN" w:bidi="ar-SA"/>
        </w:rPr>
        <w:t>：</w:t>
      </w:r>
    </w:p>
    <w:p>
      <w:pPr>
        <w:pStyle w:val="8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u w:val="singl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/>
        <w:textAlignment w:val="auto"/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pStyle w:val="4"/>
        <w:numPr>
          <w:ilvl w:val="0"/>
          <w:numId w:val="0"/>
        </w:numPr>
        <w:spacing w:before="0" w:after="0" w:line="560" w:lineRule="exact"/>
        <w:outlineLvl w:val="1"/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  <w:bookmarkStart w:id="32" w:name="_Toc127820564"/>
      <w:bookmarkStart w:id="33" w:name="_Toc128150778"/>
      <w:bookmarkStart w:id="34" w:name="_Toc17887"/>
      <w:bookmarkStart w:id="35" w:name="_Toc128397970"/>
      <w:bookmarkStart w:id="36" w:name="_Toc130887500"/>
      <w:bookmarkStart w:id="37" w:name="_Toc128150134"/>
      <w:bookmarkStart w:id="38" w:name="_Toc132190634"/>
      <w:bookmarkStart w:id="39" w:name="_Toc128151027"/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二、技术要求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>
      <w:pPr>
        <w:pStyle w:val="9"/>
        <w:rPr>
          <w:rFonts w:ascii="宋体" w:hAnsi="宋体"/>
          <w:bCs/>
          <w:snapToGrid w:val="0"/>
          <w:color w:val="auto"/>
          <w:sz w:val="28"/>
          <w:szCs w:val="28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171"/>
        <w:gridCol w:w="544"/>
        <w:gridCol w:w="192"/>
        <w:gridCol w:w="978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内镜全自动清洗消毒机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用于对消化内镜的清洗消毒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具备CFDA认证；</w:t>
            </w:r>
            <w:r>
              <w:rPr>
                <w:rFonts w:hint="eastAsia" w:ascii="黑体" w:hAnsi="宋体" w:eastAsia="黑体" w:cs="黑体"/>
                <w:sz w:val="20"/>
              </w:rPr>
              <w:t>同时具备FDA或CE认证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注册证或相关认证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消毒液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支持使用可重复循环使用消毒液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酒精冲洗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具备泵和压缩机自动冲洗∕排放功能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漏水测试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具备浸泡时通过气泡检测功能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清洗数量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单槽可同时清洗两条内镜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洗消时间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≤20分钟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超声清洗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具备超声清洗功能，超声频率≥36.5kHz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按钮清洗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可在洗消机内对内镜按钮进行清洗消毒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机身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≤0.5平米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脚踏开关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具有脚踏开关清洗盖功能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自身消毒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具备自身消毒功能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过滤功能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具备内置过滤装置、气体过滤及空气过滤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脚轮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具备移动脚轮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面板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具备主控面板和副控面板，分别用于常规操作及设定和特殊操作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配件容器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洗消盆内具备配件容器装置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设备尺寸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W(宽)≤450mm，H(高)≤1000mm,D(深)≤800mm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说明书或技术白皮书或宣传彩页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洗消内镜种类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可清洗胃肠镜，支气管镜及超声胃镜等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消毒液残留量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可重复使用过氧乙酸洗消完的镜子的残留值≤0.038mg/kg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numPr>
                <w:ilvl w:val="0"/>
                <w:numId w:val="1"/>
              </w:numPr>
              <w:jc w:val="center"/>
              <w:rPr>
                <w:rFonts w:hint="default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消毒液计数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可设定消毒操作的天数和次</w:t>
            </w:r>
            <w:r>
              <w:rPr>
                <w:rFonts w:ascii="黑体" w:hAnsi="宋体" w:eastAsia="黑体" w:cs="黑体"/>
                <w:sz w:val="20"/>
              </w:rPr>
              <w:t>数</w:t>
            </w:r>
            <w:r>
              <w:rPr>
                <w:rFonts w:hint="eastAsia" w:ascii="黑体" w:hAnsi="宋体" w:eastAsia="黑体" w:cs="黑体"/>
                <w:sz w:val="20"/>
              </w:rPr>
              <w:t>，可显示更换时间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内镜清洗消毒机</w:t>
            </w:r>
            <w:r>
              <w:rPr>
                <w:rFonts w:ascii="黑体" w:hAnsi="宋体" w:eastAsia="黑体" w:cs="黑体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sz w:val="20"/>
              </w:rPr>
              <w:t>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▲标识的指标负偏离≥8项，投标企业技术分值为0分</w:t>
            </w:r>
          </w:p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▲标识的指标和“无标识”指标负偏离≥18项，投标企业技术分值为0分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指标为必须响应指标，任意一项不满足要求即做无效投标处理；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标识的指标为重要指标；</w:t>
            </w:r>
          </w:p>
          <w:p>
            <w:pPr>
              <w:widowControl/>
              <w:spacing w:line="240" w:lineRule="exact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标识的指标需按照采购需求表（物资类）备注中明确的要求提供相关证明材料。</w:t>
            </w:r>
          </w:p>
        </w:tc>
      </w:tr>
    </w:tbl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74ABB"/>
    <w:multiLevelType w:val="multilevel"/>
    <w:tmpl w:val="36B74ABB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8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2024-12-04T10:14:53Z</dcterms:created>
  <dc:creator>DOCTOR</dc:creator>
  <cp:lastModifiedBy>DOCTOR</cp:lastModifiedBy>
  <dcterms:modified xsi:type="dcterms:W3CDTF">2024-12-04T10:15:16Z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