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Lines="50" w:afterLines="50" w:line="572" w:lineRule="exact"/>
        <w:ind w:firstLine="0" w:firstLineChars="0"/>
        <w:jc w:val="center"/>
        <w:rPr>
          <w:b/>
          <w:bCs/>
          <w:lang w:val="zh-CN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>相关证明材料包括注册证或企业承诺</w:t>
      </w:r>
      <w:r>
        <w:rPr>
          <w:rFonts w:hint="eastAsia" w:ascii="宋体" w:hAnsi="宋体" w:cs="宋体"/>
          <w:b/>
          <w:bCs/>
          <w:kern w:val="0"/>
          <w:sz w:val="22"/>
          <w:szCs w:val="22"/>
          <w:lang w:eastAsia="zh-CN"/>
        </w:rPr>
        <w:t>或</w:t>
      </w:r>
      <w:r>
        <w:rPr>
          <w:rFonts w:hint="eastAsia" w:ascii="宋体" w:hAnsi="宋体" w:cs="宋体"/>
          <w:b/>
          <w:bCs/>
          <w:kern w:val="0"/>
          <w:sz w:val="22"/>
          <w:szCs w:val="22"/>
        </w:rPr>
        <w:t>产品说明书或彩页或白皮书</w:t>
      </w:r>
    </w:p>
    <w:p>
      <w:pPr>
        <w:pStyle w:val="2"/>
        <w:rPr>
          <w:lang w:val="zh-CN"/>
        </w:rPr>
      </w:pPr>
    </w:p>
    <w:p>
      <w:pPr>
        <w:pStyle w:val="4"/>
        <w:numPr>
          <w:ilvl w:val="0"/>
          <w:numId w:val="1"/>
        </w:numPr>
        <w:rPr>
          <w:rFonts w:hint="eastAsia" w:ascii="黑体" w:hAnsi="黑体" w:cs="黑体"/>
          <w:sz w:val="28"/>
          <w:szCs w:val="28"/>
        </w:rPr>
      </w:pPr>
      <w:bookmarkStart w:id="0" w:name="_Toc128397969"/>
      <w:bookmarkStart w:id="1" w:name="_Toc132190633"/>
      <w:bookmarkStart w:id="2" w:name="_Toc128150777"/>
      <w:bookmarkStart w:id="3" w:name="_Toc25703"/>
      <w:bookmarkStart w:id="4" w:name="_Toc30945"/>
      <w:bookmarkStart w:id="5" w:name="_Toc128151026"/>
      <w:bookmarkStart w:id="6" w:name="_Toc128150133"/>
      <w:bookmarkStart w:id="7" w:name="_Toc130887499"/>
      <w:bookmarkStart w:id="8" w:name="_Toc22387"/>
      <w:bookmarkStart w:id="9" w:name="_Toc189"/>
      <w:bookmarkStart w:id="10" w:name="_Toc127820563"/>
      <w:r>
        <w:rPr>
          <w:rFonts w:hint="eastAsia" w:ascii="黑体" w:hAnsi="黑体" w:cs="黑体"/>
          <w:sz w:val="28"/>
          <w:szCs w:val="28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sz w:val="28"/>
          <w:szCs w:val="28"/>
        </w:rPr>
        <w:t>（商务条款均为实质性条款，不接受负偏离）</w:t>
      </w:r>
    </w:p>
    <w:tbl>
      <w:tblPr>
        <w:tblStyle w:val="6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1554"/>
        <w:gridCol w:w="5028"/>
        <w:gridCol w:w="13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29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</w:t>
            </w:r>
          </w:p>
        </w:tc>
        <w:tc>
          <w:tcPr>
            <w:tcW w:w="5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供应商应当保证采购单位在使用该物资或其任何一部分时，不受第三方侵权指控。同时，供应商不得向第三方泄露采购机构提供的技术文件等材料。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</w:tbl>
    <w:p>
      <w:pPr>
        <w:pStyle w:val="4"/>
        <w:numPr>
          <w:ilvl w:val="0"/>
          <w:numId w:val="0"/>
        </w:numPr>
        <w:rPr>
          <w:rFonts w:hint="eastAsia" w:ascii="黑体" w:hAnsi="黑体" w:cs="黑体"/>
          <w:sz w:val="28"/>
          <w:szCs w:val="28"/>
        </w:rPr>
      </w:pPr>
    </w:p>
    <w:p>
      <w:pPr>
        <w:pStyle w:val="3"/>
        <w:numPr>
          <w:ilvl w:val="0"/>
          <w:numId w:val="2"/>
        </w:numPr>
        <w:spacing w:before="0" w:after="0" w:line="560" w:lineRule="exact"/>
        <w:ind w:firstLine="560" w:firstLineChars="200"/>
        <w:rPr>
          <w:b w:val="0"/>
          <w:szCs w:val="44"/>
          <w:lang w:val="zh-CN"/>
        </w:rPr>
      </w:pPr>
      <w:bookmarkStart w:id="11" w:name="_Toc132190634"/>
      <w:bookmarkStart w:id="12" w:name="_Toc127820564"/>
      <w:bookmarkStart w:id="13" w:name="_Toc128150778"/>
      <w:bookmarkStart w:id="14" w:name="_Toc130887500"/>
      <w:bookmarkStart w:id="15" w:name="_Toc128151027"/>
      <w:bookmarkStart w:id="16" w:name="_Toc128150134"/>
      <w:bookmarkStart w:id="17" w:name="_Toc128397970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11"/>
      <w:bookmarkEnd w:id="12"/>
      <w:bookmarkEnd w:id="13"/>
      <w:bookmarkEnd w:id="14"/>
      <w:bookmarkEnd w:id="15"/>
      <w:bookmarkEnd w:id="16"/>
      <w:bookmarkEnd w:id="17"/>
    </w:p>
    <w:p>
      <w:pPr>
        <w:rPr>
          <w:lang w:val="zh-CN"/>
        </w:rPr>
      </w:pPr>
    </w:p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项目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2024-JQ06-W1508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光学体表呼吸追踪系统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用于患者放射治疗前和治疗过程中，实时、动态、无辐射的光学监视，实时捕捉患者体位变化信息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具备NMPA(CFDA)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具备FDA或CE认证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认证证书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联动功能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能与Elekta和Varian加速器联动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相关证明材料，企业承诺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病人摆位、实时监控和呼吸门控功能模块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定位图像配准算法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具备形变配准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误差信息投照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可将误差信息投照在患者体表对应位置，阈值由用户根据需要设置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相机数量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≥3个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可见光监测点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≥200万个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CT端模拟适配设备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具备，能够适配本院GE公司CT模拟机的四维CT功能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四维CT呼吸相位信息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能够提供四维CT的呼吸相位曲线，数据获取时间&lt;5s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呼吸门控模拟功能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能够实现前瞻式呼吸和回顾式呼吸两种呼吸模式，能够配合CT-Sim提取病人正确的呼吸位置，门控窗口最小能够达到3mm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灯光控制系统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控制呼吸门控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VR眼镜或其他可视化套件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呼吸门控视觉训练系统，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视觉培训系统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CT激光扫描系统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摄像头降温功能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呼吸门控测量精度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≤0.5mm（刚性模体）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扫描体积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≥（1000×1400×1200）mm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ab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（X×Y×Z）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定位精度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≤0.5mm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重复性精度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≤0.3mm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刷新速度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≥150帧/s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光学技术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采用结构光技术或立体视觉技术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日常QA模体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提供调节功能的专用QA模体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报警功能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当患者的体位变化超出设定阈值时，提供声音和可视化的报警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主机1套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摄影摄像单元1套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应用软件1套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遥控控制接收单元1套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日检仪1套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呼吸运动与呼吸信号监测软件1套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提供证明材料或交货清单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▲标识的指标和“无标识”指标负偏离≥11项，投标企业技术分值为0分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★及▲标识的指标，无法明确的默认由企业提供承诺；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经济要求不接受企业负偏离。</w:t>
            </w:r>
          </w:p>
        </w:tc>
      </w:tr>
    </w:tbl>
    <w:p>
      <w:pPr>
        <w:overflowPunct w:val="0"/>
        <w:spacing w:beforeLines="50" w:afterLines="50" w:line="572" w:lineRule="exact"/>
      </w:pPr>
    </w:p>
    <w:p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D2250A"/>
    <w:multiLevelType w:val="singleLevel"/>
    <w:tmpl w:val="A4D2250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CA4052"/>
    <w:rsid w:val="7198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2024-11-07T06:44:00Z</dcterms:created>
  <dc:creator>admin</dc:creator>
  <cp:lastModifiedBy>admin</cp:lastModifiedBy>
  <dcterms:modified xsi:type="dcterms:W3CDTF">2024-12-16T08:17:34Z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