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156" w:beforeLines="50" w:after="156" w:afterLines="50" w:line="572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</w:p>
    <w:p>
      <w:pPr>
        <w:pStyle w:val="4"/>
        <w:spacing w:before="156" w:beforeLines="50" w:after="156" w:afterLines="50" w:line="572" w:lineRule="exact"/>
        <w:ind w:firstLine="0" w:firstLineChars="0"/>
        <w:jc w:val="center"/>
        <w:outlineLvl w:val="0"/>
        <w:rPr>
          <w:rFonts w:ascii="黑体" w:hAnsi="黑体" w:eastAsia="黑体" w:cs="黑体"/>
          <w:i/>
          <w:iCs/>
          <w:kern w:val="0"/>
          <w:sz w:val="28"/>
          <w:szCs w:val="28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封闭耗材（试剂）用量测算表</w:t>
      </w:r>
    </w:p>
    <w:tbl>
      <w:tblPr>
        <w:tblStyle w:val="6"/>
        <w:tblpPr w:leftFromText="180" w:rightFromText="180" w:vertAnchor="text" w:horzAnchor="page" w:tblpX="1562" w:tblpY="534"/>
        <w:tblOverlap w:val="never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329"/>
        <w:gridCol w:w="1373"/>
        <w:gridCol w:w="1093"/>
        <w:gridCol w:w="1227"/>
        <w:gridCol w:w="1143"/>
        <w:gridCol w:w="79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3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钬（Ho:YAG）激光治疗机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31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封闭耗材（试剂）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描述</w:t>
            </w:r>
          </w:p>
        </w:tc>
        <w:tc>
          <w:tcPr>
            <w:tcW w:w="7959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耗材与设备为同一品牌,作为与钬（Ho:YAG）激光治疗机配套的碎石光纤或消融光纤使用。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耗材（开展项目）名称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规格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预估2年用量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计量单位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无菌医用激光光纤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hint="eastAsia" w:ascii="宋体" w:hAnsi="宋体" w:cs="宋体"/>
                <w:bCs/>
                <w:sz w:val="20"/>
              </w:rPr>
              <w:t>550μm（厂家自报）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hint="eastAsia" w:ascii="宋体" w:hAnsi="宋体" w:cs="宋体"/>
                <w:bCs/>
                <w:sz w:val="20"/>
              </w:rPr>
              <w:t>100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hint="eastAsia" w:ascii="宋体" w:hAnsi="宋体" w:cs="宋体"/>
                <w:bCs/>
                <w:sz w:val="20"/>
              </w:rPr>
              <w:t>根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hint="eastAsia" w:ascii="宋体" w:hAnsi="宋体" w:cs="宋体"/>
                <w:bCs/>
                <w:sz w:val="20"/>
              </w:rPr>
              <w:t>80.00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无菌医用激光光纤</w:t>
            </w: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hint="eastAsia" w:ascii="宋体" w:hAnsi="宋体" w:cs="宋体"/>
                <w:bCs/>
                <w:sz w:val="20"/>
              </w:rPr>
              <w:t>200μm（厂家自报）</w:t>
            </w: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hint="eastAsia" w:ascii="宋体" w:hAnsi="宋体" w:cs="宋体"/>
                <w:bCs/>
                <w:sz w:val="20"/>
              </w:rPr>
              <w:t>100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hint="eastAsia" w:ascii="宋体" w:hAnsi="宋体" w:cs="宋体"/>
                <w:bCs/>
                <w:sz w:val="20"/>
              </w:rPr>
              <w:t>根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hint="eastAsia" w:ascii="宋体" w:hAnsi="宋体" w:cs="宋体"/>
                <w:bCs/>
                <w:sz w:val="20"/>
              </w:rPr>
              <w:t>80.00</w:t>
            </w: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2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</w:tbl>
    <w:p>
      <w:pPr>
        <w:pStyle w:val="3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宋体" w:hAnsi="宋体"/>
        <w:sz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5A5"/>
    <w:rsid w:val="000E047E"/>
    <w:rsid w:val="0046110B"/>
    <w:rsid w:val="00E665A5"/>
    <w:rsid w:val="00F31040"/>
    <w:rsid w:val="00F60EEA"/>
    <w:rsid w:val="2A834A57"/>
    <w:rsid w:val="2E08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Body Text"/>
    <w:basedOn w:val="1"/>
    <w:next w:val="4"/>
    <w:uiPriority w:val="0"/>
    <w:pPr>
      <w:spacing w:after="120"/>
    </w:pPr>
  </w:style>
  <w:style w:type="paragraph" w:styleId="4">
    <w:name w:val="Body Text Indent"/>
    <w:basedOn w:val="1"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73</Words>
  <Characters>419</Characters>
  <Lines>3</Lines>
  <Paragraphs>1</Paragraphs>
  <TotalTime>6</TotalTime>
  <ScaleCrop>false</ScaleCrop>
  <LinksUpToDate>false</LinksUpToDate>
  <CharactersWithSpaces>491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2024-03-07T12:44:00Z</dcterms:created>
  <dc:creator>DOCTOR</dc:creator>
  <cp:lastModifiedBy>mahe</cp:lastModifiedBy>
  <dcterms:modified xsi:type="dcterms:W3CDTF">2024-12-10T02:01:21Z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