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numPr>
          <w:ilvl w:val="0"/>
          <w:numId w:val="0"/>
        </w:numPr>
        <w:adjustRightInd w:val="0"/>
        <w:snapToGrid w:val="0"/>
        <w:spacing w:after="120" w:afterLines="50" w:line="560" w:lineRule="exact"/>
        <w:jc w:val="both"/>
        <w:rPr>
          <w:rFonts w:hint="eastAsia" w:hAnsi="宋体"/>
          <w:bCs/>
          <w:sz w:val="28"/>
          <w:szCs w:val="28"/>
          <w:highlight w:val="none"/>
          <w:lang w:val="en-US" w:eastAsia="zh-CN"/>
        </w:rPr>
      </w:pPr>
      <w:r>
        <w:rPr>
          <w:rFonts w:hint="eastAsia" w:ascii="黑体" w:hAnsi="黑体" w:cs="黑体"/>
          <w:b w:val="0"/>
          <w:sz w:val="28"/>
          <w:szCs w:val="28"/>
          <w:highlight w:val="none"/>
        </w:rPr>
        <w:t>一、</w:t>
      </w:r>
      <w:r>
        <w:rPr>
          <w:rFonts w:hint="eastAsia" w:ascii="黑体" w:hAnsi="黑体" w:cs="黑体"/>
          <w:b w:val="0"/>
          <w:sz w:val="28"/>
          <w:szCs w:val="28"/>
          <w:highlight w:val="none"/>
          <w:lang w:eastAsia="zh-CN"/>
        </w:rPr>
        <w:t>商务</w:t>
      </w:r>
      <w:r>
        <w:rPr>
          <w:rFonts w:hint="eastAsia" w:ascii="黑体" w:hAnsi="黑体" w:cs="黑体"/>
          <w:b w:val="0"/>
          <w:sz w:val="28"/>
          <w:szCs w:val="28"/>
          <w:highlight w:val="none"/>
        </w:rPr>
        <w:t>要求</w:t>
      </w:r>
      <w:r>
        <w:rPr>
          <w:rFonts w:hint="eastAsia" w:hAnsi="宋体"/>
          <w:bCs/>
          <w:sz w:val="28"/>
          <w:szCs w:val="28"/>
          <w:highlight w:val="none"/>
          <w:lang w:val="en-US" w:eastAsia="zh-CN"/>
        </w:rPr>
        <w:t>(</w:t>
      </w:r>
      <w:r>
        <w:rPr>
          <w:rFonts w:hint="eastAsia" w:ascii="黑体" w:hAnsi="黑体" w:cs="黑体"/>
          <w:b w:val="0"/>
          <w:sz w:val="28"/>
          <w:szCs w:val="28"/>
          <w:highlight w:val="none"/>
          <w:lang w:eastAsia="zh-CN"/>
        </w:rPr>
        <w:t>商务</w:t>
      </w:r>
      <w:r>
        <w:rPr>
          <w:rFonts w:hint="eastAsia" w:ascii="黑体" w:hAnsi="黑体" w:cs="黑体"/>
          <w:b w:val="0"/>
          <w:sz w:val="28"/>
          <w:szCs w:val="28"/>
          <w:highlight w:val="none"/>
        </w:rPr>
        <w:t>要求</w:t>
      </w:r>
      <w:r>
        <w:rPr>
          <w:rFonts w:hint="eastAsia" w:ascii="黑体" w:hAnsi="黑体" w:cs="黑体"/>
          <w:b w:val="0"/>
          <w:sz w:val="28"/>
          <w:szCs w:val="28"/>
          <w:highlight w:val="none"/>
          <w:lang w:val="en-US" w:eastAsia="zh-CN"/>
        </w:rPr>
        <w:t>均为实质性响应条款，不接受负偏离</w:t>
      </w:r>
      <w:r>
        <w:rPr>
          <w:rFonts w:hint="eastAsia" w:hAnsi="宋体"/>
          <w:bCs/>
          <w:sz w:val="28"/>
          <w:szCs w:val="28"/>
          <w:highlight w:val="none"/>
          <w:lang w:val="en-US" w:eastAsia="zh-CN"/>
        </w:rPr>
        <w:t>)</w:t>
      </w:r>
    </w:p>
    <w:p>
      <w:pPr>
        <w:rPr>
          <w:rFonts w:hint="eastAsia"/>
          <w:b/>
          <w:bCs/>
          <w:sz w:val="28"/>
          <w:szCs w:val="36"/>
          <w:lang w:eastAsia="zh-CN"/>
        </w:rPr>
      </w:pPr>
      <w:r>
        <w:rPr>
          <w:rFonts w:hint="eastAsia"/>
          <w:b/>
          <w:bCs/>
          <w:sz w:val="28"/>
          <w:szCs w:val="36"/>
          <w:lang w:eastAsia="zh-CN"/>
        </w:rPr>
        <w:t>（一）</w:t>
      </w:r>
      <w:r>
        <w:rPr>
          <w:rFonts w:hint="eastAsia"/>
          <w:b/>
          <w:bCs/>
          <w:sz w:val="28"/>
          <w:szCs w:val="36"/>
          <w:lang w:val="en-US" w:eastAsia="zh-CN"/>
        </w:rPr>
        <w:t>环氧乙烷灭菌器和环氧乙烷气体分解器为同厂家配套使用。</w:t>
      </w:r>
    </w:p>
    <w:p>
      <w:pPr>
        <w:rPr>
          <w:rFonts w:hint="eastAsia"/>
          <w:b/>
          <w:bCs/>
          <w:sz w:val="28"/>
          <w:szCs w:val="36"/>
          <w:lang w:eastAsia="zh-CN"/>
        </w:rPr>
      </w:pPr>
      <w:r>
        <w:rPr>
          <w:rFonts w:hint="eastAsia"/>
          <w:b/>
          <w:bCs/>
          <w:sz w:val="28"/>
          <w:szCs w:val="36"/>
          <w:lang w:eastAsia="zh-CN"/>
        </w:rPr>
        <w:t>（二）经济要求</w:t>
      </w:r>
    </w:p>
    <w:p>
      <w:pPr>
        <w:keepNext w:val="0"/>
        <w:keepLines w:val="0"/>
        <w:widowControl/>
        <w:suppressLineNumbers w:val="0"/>
        <w:jc w:val="left"/>
        <w:textAlignment w:val="center"/>
        <w:rPr>
          <w:rFonts w:hint="default"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项目1：环氧乙烷灭菌器</w:t>
      </w:r>
    </w:p>
    <w:tbl>
      <w:tblPr>
        <w:tblStyle w:val="3"/>
        <w:tblW w:w="0" w:type="auto"/>
        <w:tblInd w:w="0" w:type="dxa"/>
        <w:shd w:val="clear" w:color="auto" w:fill="auto"/>
        <w:tblLayout w:type="autofit"/>
        <w:tblCellMar>
          <w:top w:w="0" w:type="dxa"/>
          <w:left w:w="0" w:type="dxa"/>
          <w:bottom w:w="0" w:type="dxa"/>
          <w:right w:w="0" w:type="dxa"/>
        </w:tblCellMar>
      </w:tblPr>
      <w:tblGrid>
        <w:gridCol w:w="711"/>
        <w:gridCol w:w="1435"/>
        <w:gridCol w:w="5040"/>
        <w:gridCol w:w="1150"/>
      </w:tblGrid>
      <w:tr>
        <w:tblPrEx>
          <w:shd w:val="clear" w:color="auto" w:fill="auto"/>
          <w:tblCellMar>
            <w:top w:w="0" w:type="dxa"/>
            <w:left w:w="0" w:type="dxa"/>
            <w:bottom w:w="0" w:type="dxa"/>
            <w:right w:w="0" w:type="dxa"/>
          </w:tblCellMar>
        </w:tblPrEx>
        <w:trPr>
          <w:trHeight w:val="495"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合同签订后三个月内交付，交付地点由甲方指定</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495"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物资到货（服务完成）验收后付95%</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11"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履约保证金/质量保证金</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验收合格后满一年无质量问题支付剩余5%</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11"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保修年限不低于三年，全年故障停机时间不高于5%（按365日/年计算)</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原厂授权</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11"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保修期内免费提供定期维护保养服务，免费升级和维护软件，免费提供使用培训</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85"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维修响应时间≤4小时，京内维修到达现场时间≤12小时，京外维修到达现场时间≤48小时</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6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（零配件）</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由供应商承诺项目使用寿命周期内保证零配件供应</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bl>
    <w:p>
      <w:pPr>
        <w:keepNext w:val="0"/>
        <w:keepLines w:val="0"/>
        <w:widowControl/>
        <w:suppressLineNumbers w:val="0"/>
        <w:jc w:val="left"/>
        <w:textAlignment w:val="center"/>
        <w:rPr>
          <w:rFonts w:hint="eastAsia" w:ascii="黑体" w:hAnsi="宋体" w:eastAsia="黑体" w:cs="黑体"/>
          <w:i w:val="0"/>
          <w:color w:val="000000"/>
          <w:kern w:val="0"/>
          <w:sz w:val="24"/>
          <w:szCs w:val="24"/>
          <w:u w:val="none"/>
          <w:lang w:val="en-US" w:eastAsia="zh-CN" w:bidi="ar"/>
        </w:rPr>
      </w:pPr>
    </w:p>
    <w:p>
      <w:pPr>
        <w:keepNext w:val="0"/>
        <w:keepLines w:val="0"/>
        <w:widowControl/>
        <w:suppressLineNumbers w:val="0"/>
        <w:jc w:val="left"/>
        <w:textAlignment w:val="center"/>
        <w:rPr>
          <w:rFonts w:hint="default"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项目2：环氧乙烷气体分解器</w:t>
      </w:r>
    </w:p>
    <w:tbl>
      <w:tblPr>
        <w:tblStyle w:val="3"/>
        <w:tblW w:w="0" w:type="auto"/>
        <w:tblInd w:w="0" w:type="dxa"/>
        <w:shd w:val="clear" w:color="auto" w:fill="auto"/>
        <w:tblLayout w:type="autofit"/>
        <w:tblCellMar>
          <w:top w:w="0" w:type="dxa"/>
          <w:left w:w="0" w:type="dxa"/>
          <w:bottom w:w="0" w:type="dxa"/>
          <w:right w:w="0" w:type="dxa"/>
        </w:tblCellMar>
      </w:tblPr>
      <w:tblGrid>
        <w:gridCol w:w="724"/>
        <w:gridCol w:w="1433"/>
        <w:gridCol w:w="5057"/>
        <w:gridCol w:w="1122"/>
      </w:tblGrid>
      <w:tr>
        <w:tblPrEx>
          <w:shd w:val="clear" w:color="auto" w:fill="auto"/>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原厂保修年限</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≥3年，保修期内开机率不低于95%（按365日/年计算，含节假日)，未达到要求的开机率天数，按双倍天数顺延保修期。</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1105"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零配件支持</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零配件保证供应时长</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到位维修响应</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维修到达现场时间≤0.5个工作日（京内）</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维修到达现场时间≤3个工作日（京外）</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保修期外维修费用</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提供免费保修期外的年度整机保修费用价格，提供维修工时费计算方法及价格</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技术支持和服务网点</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提供全国主要城市售后服务网点及售后人员数量</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升级与软件维护</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保修期内免费升级和软件维护；保修期外，原软件维护仅收工时费</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专用工具、资料及其它</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提供设备配套的维修专用工具，资料（操作手册、维修手册等）</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培训</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提供使用培训和工程师原厂培训</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付款及结算方式</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签订合同付（预付）0%，物资到货（服务完成）验收后付95%，质量保证金5%。</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11</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交货时间、交货地点</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合同签订后3个月内交货、甲方指定</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bl>
    <w:p>
      <w:pPr>
        <w:pStyle w:val="5"/>
        <w:spacing w:line="560" w:lineRule="exact"/>
        <w:ind w:left="0" w:leftChars="0" w:firstLine="0" w:firstLineChars="0"/>
        <w:rPr>
          <w:rFonts w:hAnsi="宋体"/>
          <w:b/>
          <w:bCs w:val="0"/>
          <w:color w:val="auto"/>
          <w:sz w:val="28"/>
          <w:szCs w:val="28"/>
          <w:highlight w:val="none"/>
          <w:lang w:val="zh-CN"/>
        </w:rPr>
      </w:pPr>
    </w:p>
    <w:p>
      <w:pPr>
        <w:pStyle w:val="5"/>
        <w:spacing w:line="560" w:lineRule="exact"/>
        <w:ind w:left="0" w:leftChars="0" w:firstLine="0" w:firstLineChars="0"/>
        <w:rPr>
          <w:b/>
          <w:bCs w:val="0"/>
          <w:color w:val="auto"/>
          <w:sz w:val="28"/>
          <w:szCs w:val="28"/>
          <w:highlight w:val="none"/>
        </w:rPr>
      </w:pPr>
      <w:r>
        <w:rPr>
          <w:rFonts w:hAnsi="宋体"/>
          <w:b/>
          <w:bCs w:val="0"/>
          <w:color w:val="auto"/>
          <w:sz w:val="28"/>
          <w:szCs w:val="28"/>
          <w:highlight w:val="none"/>
          <w:lang w:val="zh-CN"/>
        </w:rPr>
        <w:t>（</w:t>
      </w:r>
      <w:r>
        <w:rPr>
          <w:rFonts w:hint="eastAsia" w:hAnsi="宋体"/>
          <w:b/>
          <w:bCs w:val="0"/>
          <w:color w:val="auto"/>
          <w:sz w:val="28"/>
          <w:szCs w:val="28"/>
          <w:highlight w:val="none"/>
          <w:lang w:eastAsia="zh-CN"/>
        </w:rPr>
        <w:t>三）</w:t>
      </w:r>
      <w:r>
        <w:rPr>
          <w:rFonts w:hint="eastAsia" w:hAnsi="宋体"/>
          <w:b/>
          <w:bCs w:val="0"/>
          <w:color w:val="auto"/>
          <w:sz w:val="28"/>
          <w:szCs w:val="28"/>
          <w:highlight w:val="none"/>
        </w:rPr>
        <w:t>知识产权</w:t>
      </w:r>
      <w:r>
        <w:rPr>
          <w:rFonts w:hAnsi="宋体"/>
          <w:b/>
          <w:bCs w:val="0"/>
          <w:color w:val="auto"/>
          <w:sz w:val="28"/>
          <w:szCs w:val="28"/>
          <w:highlight w:val="none"/>
        </w:rPr>
        <w:t>和保密要求</w:t>
      </w:r>
    </w:p>
    <w:p>
      <w:pPr>
        <w:pStyle w:val="5"/>
        <w:spacing w:line="560" w:lineRule="exact"/>
        <w:ind w:firstLine="560"/>
        <w:rPr>
          <w:bCs/>
          <w:color w:val="auto"/>
          <w:sz w:val="28"/>
          <w:szCs w:val="28"/>
          <w:highlight w:val="none"/>
          <w:u w:val="single"/>
          <w:lang w:val="zh-CN"/>
        </w:rPr>
      </w:pPr>
      <w:r>
        <w:rPr>
          <w:rFonts w:hint="eastAsia"/>
          <w:bCs/>
          <w:color w:val="auto"/>
          <w:sz w:val="28"/>
          <w:szCs w:val="28"/>
          <w:highlight w:val="none"/>
          <w:u w:val="single"/>
          <w:lang w:val="zh-CN"/>
        </w:rPr>
        <w:t>投标供应商应当保证采购单位在使用该物资或其任何一部分时，不受第三方侵权指控。同时，投标供应商不得向第三方泄露采购机构提供的技术文件等</w:t>
      </w:r>
      <w:r>
        <w:rPr>
          <w:rFonts w:hint="eastAsia" w:ascii="宋体" w:hAnsi="宋体"/>
          <w:bCs/>
          <w:color w:val="auto"/>
          <w:sz w:val="28"/>
          <w:szCs w:val="28"/>
          <w:highlight w:val="none"/>
          <w:u w:val="single"/>
        </w:rPr>
        <w:t>材料</w:t>
      </w:r>
      <w:r>
        <w:rPr>
          <w:rFonts w:hint="eastAsia"/>
          <w:bCs/>
          <w:color w:val="auto"/>
          <w:sz w:val="28"/>
          <w:szCs w:val="28"/>
          <w:highlight w:val="none"/>
          <w:u w:val="single"/>
          <w:lang w:val="zh-CN"/>
        </w:rPr>
        <w:t>。</w:t>
      </w:r>
    </w:p>
    <w:p>
      <w:pPr>
        <w:pStyle w:val="5"/>
        <w:spacing w:line="560" w:lineRule="exact"/>
        <w:ind w:firstLine="560"/>
        <w:rPr>
          <w:bCs/>
          <w:color w:val="auto"/>
          <w:sz w:val="28"/>
          <w:szCs w:val="28"/>
          <w:highlight w:val="none"/>
          <w:u w:val="single"/>
          <w:lang w:val="zh-CN"/>
        </w:rPr>
      </w:pPr>
      <w:r>
        <w:rPr>
          <w:rFonts w:hint="eastAsia"/>
          <w:bCs/>
          <w:color w:val="auto"/>
          <w:sz w:val="28"/>
          <w:szCs w:val="28"/>
          <w:highlight w:val="none"/>
          <w:u w:val="single"/>
          <w:lang w:val="zh-CN"/>
        </w:rPr>
        <w:t>基于项目合同履行形成的知识产权和其他权益，其权属归采购单位所有，法律另有规定的除外。</w:t>
      </w:r>
    </w:p>
    <w:p>
      <w:pPr>
        <w:pStyle w:val="5"/>
        <w:spacing w:line="560" w:lineRule="exact"/>
        <w:ind w:left="0" w:leftChars="0" w:firstLine="0" w:firstLineChars="0"/>
        <w:rPr>
          <w:rFonts w:hAnsi="宋体"/>
          <w:b/>
          <w:bCs w:val="0"/>
          <w:color w:val="auto"/>
          <w:sz w:val="28"/>
          <w:szCs w:val="28"/>
          <w:highlight w:val="none"/>
          <w:lang w:val="zh-CN"/>
        </w:rPr>
      </w:pPr>
      <w:r>
        <w:rPr>
          <w:rFonts w:hAnsi="宋体"/>
          <w:b/>
          <w:bCs w:val="0"/>
          <w:color w:val="auto"/>
          <w:sz w:val="28"/>
          <w:szCs w:val="28"/>
          <w:highlight w:val="none"/>
          <w:lang w:val="zh-CN"/>
        </w:rPr>
        <w:t>（</w:t>
      </w:r>
      <w:r>
        <w:rPr>
          <w:rFonts w:hint="eastAsia" w:hAnsi="宋体"/>
          <w:b/>
          <w:bCs w:val="0"/>
          <w:color w:val="auto"/>
          <w:sz w:val="28"/>
          <w:szCs w:val="28"/>
          <w:highlight w:val="none"/>
          <w:lang w:val="zh-CN"/>
        </w:rPr>
        <w:t>四</w:t>
      </w:r>
      <w:r>
        <w:rPr>
          <w:rFonts w:hAnsi="宋体"/>
          <w:b/>
          <w:bCs w:val="0"/>
          <w:color w:val="auto"/>
          <w:sz w:val="28"/>
          <w:szCs w:val="28"/>
          <w:highlight w:val="none"/>
          <w:lang w:val="zh-CN"/>
        </w:rPr>
        <w:t>）</w:t>
      </w:r>
      <w:r>
        <w:rPr>
          <w:rFonts w:hint="eastAsia" w:hAnsi="宋体"/>
          <w:b/>
          <w:bCs w:val="0"/>
          <w:color w:val="auto"/>
          <w:sz w:val="28"/>
          <w:szCs w:val="28"/>
          <w:highlight w:val="none"/>
          <w:lang w:val="zh-CN"/>
        </w:rPr>
        <w:t>物资编目编码、打码贴签</w:t>
      </w:r>
      <w:r>
        <w:rPr>
          <w:rFonts w:hAnsi="宋体"/>
          <w:b/>
          <w:bCs w:val="0"/>
          <w:color w:val="auto"/>
          <w:sz w:val="28"/>
          <w:szCs w:val="28"/>
          <w:highlight w:val="none"/>
          <w:lang w:val="zh-CN"/>
        </w:rPr>
        <w:t>要求</w:t>
      </w:r>
    </w:p>
    <w:p>
      <w:pPr>
        <w:pStyle w:val="5"/>
        <w:spacing w:line="560" w:lineRule="exact"/>
        <w:ind w:firstLine="560"/>
        <w:rPr>
          <w:rFonts w:ascii="宋体" w:hAnsi="宋体"/>
          <w:bCs/>
          <w:color w:val="auto"/>
          <w:sz w:val="28"/>
          <w:szCs w:val="28"/>
          <w:highlight w:val="none"/>
          <w:u w:val="single"/>
          <w:lang w:val="zh-CN"/>
        </w:rPr>
      </w:pPr>
      <w:r>
        <w:rPr>
          <w:rFonts w:hint="eastAsia" w:ascii="宋体" w:hAnsi="宋体"/>
          <w:bCs/>
          <w:color w:val="auto"/>
          <w:sz w:val="28"/>
          <w:szCs w:val="28"/>
          <w:highlight w:val="none"/>
          <w:u w:val="single"/>
          <w:lang w:val="zh-CN"/>
        </w:rPr>
        <w:t>本项目对物资的编目编码、打码贴签要求，投标供应商应当予以明确响应，相关费用包含在报价中。</w:t>
      </w:r>
    </w:p>
    <w:p>
      <w:pPr>
        <w:rPr>
          <w:rFonts w:hint="eastAsia"/>
          <w:lang w:eastAsia="zh-CN"/>
        </w:rPr>
      </w:pPr>
    </w:p>
    <w:p>
      <w:pPr>
        <w:rPr>
          <w:rFonts w:hint="eastAsia" w:ascii="宋体" w:hAnsi="宋体"/>
          <w:bCs/>
          <w:sz w:val="28"/>
          <w:szCs w:val="28"/>
          <w:highlight w:val="none"/>
          <w:lang w:val="zh-CN"/>
        </w:rPr>
      </w:pPr>
      <w:r>
        <w:rPr>
          <w:rFonts w:hint="eastAsia" w:ascii="宋体" w:hAnsi="宋体"/>
          <w:bCs/>
          <w:sz w:val="28"/>
          <w:szCs w:val="28"/>
          <w:highlight w:val="none"/>
          <w:lang w:val="zh-CN"/>
        </w:rPr>
        <w:br w:type="page"/>
      </w:r>
    </w:p>
    <w:p>
      <w:pPr>
        <w:pStyle w:val="2"/>
        <w:numPr>
          <w:ilvl w:val="0"/>
          <w:numId w:val="1"/>
        </w:numPr>
        <w:spacing w:before="0" w:after="0" w:line="560" w:lineRule="exact"/>
        <w:ind w:firstLine="560" w:firstLineChars="200"/>
        <w:rPr>
          <w:rFonts w:hint="eastAsia" w:ascii="黑体" w:hAnsi="黑体" w:cs="黑体"/>
          <w:b w:val="0"/>
          <w:sz w:val="28"/>
          <w:szCs w:val="28"/>
          <w:highlight w:val="none"/>
        </w:rPr>
      </w:pPr>
      <w:bookmarkStart w:id="0" w:name="_Toc128150134"/>
      <w:bookmarkStart w:id="1" w:name="_Toc130887500"/>
      <w:bookmarkStart w:id="2" w:name="_Toc8435"/>
      <w:bookmarkStart w:id="3" w:name="_Toc128151027"/>
      <w:bookmarkStart w:id="4" w:name="_Toc127820564"/>
      <w:bookmarkStart w:id="5" w:name="_Toc128150778"/>
      <w:bookmarkStart w:id="6" w:name="_Toc128397970"/>
      <w:bookmarkStart w:id="7" w:name="_Toc132190634"/>
      <w:r>
        <w:rPr>
          <w:rFonts w:hint="eastAsia" w:ascii="黑体" w:hAnsi="黑体" w:cs="黑体"/>
          <w:b w:val="0"/>
          <w:sz w:val="28"/>
          <w:szCs w:val="28"/>
          <w:highlight w:val="none"/>
        </w:rPr>
        <w:t>技术要求</w:t>
      </w:r>
      <w:bookmarkEnd w:id="0"/>
      <w:bookmarkEnd w:id="1"/>
      <w:bookmarkEnd w:id="2"/>
      <w:bookmarkEnd w:id="3"/>
      <w:bookmarkEnd w:id="4"/>
      <w:bookmarkEnd w:id="5"/>
      <w:bookmarkEnd w:id="6"/>
      <w:bookmarkEnd w:id="7"/>
    </w:p>
    <w:p>
      <w:pPr>
        <w:rPr>
          <w:rFonts w:hint="eastAsia"/>
        </w:rPr>
      </w:pPr>
    </w:p>
    <w:p>
      <w:pPr>
        <w:keepNext w:val="0"/>
        <w:keepLines w:val="0"/>
        <w:widowControl/>
        <w:suppressLineNumbers w:val="0"/>
        <w:jc w:val="left"/>
        <w:textAlignment w:val="center"/>
        <w:rPr>
          <w:rFonts w:hint="default"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项目1：环氧乙烷灭菌器</w:t>
      </w:r>
    </w:p>
    <w:p>
      <w:pPr>
        <w:rPr>
          <w:rFonts w:hint="eastAsia"/>
          <w:b w:val="0"/>
          <w:szCs w:val="44"/>
          <w:highlight w:val="none"/>
          <w:lang w:val="zh-CN"/>
        </w:rPr>
      </w:pPr>
    </w:p>
    <w:tbl>
      <w:tblPr>
        <w:tblStyle w:val="3"/>
        <w:tblW w:w="0" w:type="auto"/>
        <w:tblInd w:w="0" w:type="dxa"/>
        <w:shd w:val="clear" w:color="auto" w:fill="auto"/>
        <w:tblLayout w:type="autofit"/>
        <w:tblCellMar>
          <w:top w:w="0" w:type="dxa"/>
          <w:left w:w="0" w:type="dxa"/>
          <w:bottom w:w="0" w:type="dxa"/>
          <w:right w:w="0" w:type="dxa"/>
        </w:tblCellMar>
      </w:tblPr>
      <w:tblGrid>
        <w:gridCol w:w="372"/>
        <w:gridCol w:w="1206"/>
        <w:gridCol w:w="555"/>
        <w:gridCol w:w="1862"/>
        <w:gridCol w:w="2263"/>
        <w:gridCol w:w="539"/>
        <w:gridCol w:w="1539"/>
      </w:tblGrid>
      <w:tr>
        <w:tblPrEx>
          <w:shd w:val="clear" w:color="auto" w:fill="auto"/>
          <w:tblCellMar>
            <w:top w:w="0" w:type="dxa"/>
            <w:left w:w="0" w:type="dxa"/>
            <w:bottom w:w="0" w:type="dxa"/>
            <w:right w:w="0" w:type="dxa"/>
          </w:tblCellMar>
        </w:tblPrEx>
        <w:trPr>
          <w:trHeight w:val="570" w:hRule="atLeast"/>
        </w:trPr>
        <w:tc>
          <w:tcPr>
            <w:tcW w:w="0" w:type="auto"/>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采购需求表（物资类）</w:t>
            </w:r>
          </w:p>
        </w:tc>
      </w:tr>
      <w:tr>
        <w:tblPrEx>
          <w:tblCellMar>
            <w:top w:w="0" w:type="dxa"/>
            <w:left w:w="0" w:type="dxa"/>
            <w:bottom w:w="0" w:type="dxa"/>
            <w:right w:w="0" w:type="dxa"/>
          </w:tblCellMar>
        </w:tblPrEx>
        <w:trPr>
          <w:trHeight w:val="8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环氧乙烷灭菌器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160</w:t>
            </w:r>
          </w:p>
        </w:tc>
      </w:tr>
      <w:tr>
        <w:tblPrEx>
          <w:tblCellMar>
            <w:top w:w="0" w:type="dxa"/>
            <w:left w:w="0" w:type="dxa"/>
            <w:bottom w:w="0" w:type="dxa"/>
            <w:right w:w="0" w:type="dxa"/>
          </w:tblCellMar>
        </w:tblPrEx>
        <w:trPr>
          <w:trHeight w:val="7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CellMar>
            <w:top w:w="0" w:type="dxa"/>
            <w:left w:w="0" w:type="dxa"/>
            <w:bottom w:w="0" w:type="dxa"/>
            <w:right w:w="0" w:type="dxa"/>
          </w:tblCellMar>
        </w:tblPrEx>
        <w:trPr>
          <w:trHeight w:val="360" w:hRule="atLeast"/>
        </w:trPr>
        <w:tc>
          <w:tcPr>
            <w:tcW w:w="0" w:type="auto"/>
            <w:gridSpan w:val="7"/>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用于对热湿敏感的医疗器械和物品的低温灭菌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具备NMPA(CFDA)认证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内舱容积</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≥220升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灭菌温度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38℃ - 55℃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灭菌时间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1-4.5小时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解析安全时间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55℃灭菌和通风解析温度时≥12小时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运行程序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可选运行程序，≥7个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11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灭菌剂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100%环氧乙烷气体，小剂量罐装，每锅次仅使用一支。灭菌剂气罐上具有条码，条码内含有灭菌剂批次信息，灭菌剂效期信息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控制方式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舱体前中后三区控制，每区均具备双温度探测、双湿度探测、双压力探测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显示屏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彩色触摸屏，灭菌器的操作均在触摸屏完成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显示内容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可显示常规数据，运行曲线（温度曲线、湿度曲线、压力曲线），点击曲线上的任何一点，可显示该点的参数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打印记录内容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能记录常规和运行打印运行曲线（温度曲线、湿度曲线、压力曲线），同时可记录灭菌剂气罐批次号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数据接口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具备USB接口，可以通过USB导出循环灭菌循环数据，可导出最近100组灭菌循环数据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网络接口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具有网络通讯接口，以及环氧乙烷分解器通讯接口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灭菌剂气罐条码扫描器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具备环氧乙烷灭菌剂气罐条码扫描功能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整体结构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立式，手动单门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内舱材质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耐腐蚀合金铝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真空泵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内置射流真空泵，射流真空泵利用外接压缩空气进行抽真空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废气处理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利用外接压缩空气将灭菌后的环氧乙烷废气浓度稀释到低于环氧乙烷爆燃的最低浓度（4%）之下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水箱</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具有水箱水位视窗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环氧乙烷灭菌器*1 灭菌篮筐*3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厂家承诺</w:t>
            </w:r>
            <w:bookmarkStart w:id="8" w:name="_GoBack"/>
            <w:bookmarkEnd w:id="8"/>
          </w:p>
        </w:tc>
      </w:tr>
      <w:tr>
        <w:tblPrEx>
          <w:tblCellMar>
            <w:top w:w="0" w:type="dxa"/>
            <w:left w:w="0" w:type="dxa"/>
            <w:bottom w:w="0" w:type="dxa"/>
            <w:right w:w="0" w:type="dxa"/>
          </w:tblCellMar>
        </w:tblPrEx>
        <w:trPr>
          <w:trHeight w:val="840" w:hRule="atLeast"/>
        </w:trPr>
        <w:tc>
          <w:tcPr>
            <w:tcW w:w="938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▲标识的指标和“无标识”指标负偏离≥50%，投标企业技术分值为0分</w:t>
            </w:r>
          </w:p>
        </w:tc>
      </w:tr>
      <w:tr>
        <w:tblPrEx>
          <w:tblCellMar>
            <w:top w:w="0" w:type="dxa"/>
            <w:left w:w="0" w:type="dxa"/>
            <w:bottom w:w="0" w:type="dxa"/>
            <w:right w:w="0" w:type="dxa"/>
          </w:tblCellMar>
        </w:tblPrEx>
        <w:trPr>
          <w:trHeight w:val="840"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注：</w:t>
            </w:r>
          </w:p>
          <w:p>
            <w:pPr>
              <w:keepNext w:val="0"/>
              <w:keepLines w:val="0"/>
              <w:widowControl/>
              <w:numPr>
                <w:ilvl w:val="0"/>
                <w:numId w:val="0"/>
              </w:numPr>
              <w:suppressLineNumbers w:val="0"/>
              <w:ind w:left="400" w:leftChars="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1.加注★</w:t>
            </w:r>
            <w:r>
              <w:rPr>
                <w:rFonts w:hint="eastAsia" w:ascii="黑体" w:hAnsi="宋体" w:eastAsia="黑体" w:cs="黑体"/>
                <w:i w:val="0"/>
                <w:color w:val="000000"/>
                <w:kern w:val="0"/>
                <w:sz w:val="20"/>
                <w:szCs w:val="20"/>
                <w:u w:val="none"/>
                <w:lang w:val="zh-CN" w:eastAsia="zh-CN" w:bidi="ar"/>
              </w:rPr>
              <w:t>标识的</w:t>
            </w:r>
            <w:r>
              <w:rPr>
                <w:rFonts w:hint="eastAsia" w:ascii="黑体" w:hAnsi="宋体" w:eastAsia="黑体" w:cs="黑体"/>
                <w:i w:val="0"/>
                <w:color w:val="000000"/>
                <w:kern w:val="0"/>
                <w:sz w:val="20"/>
                <w:szCs w:val="20"/>
                <w:u w:val="none"/>
                <w:lang w:val="en-US" w:eastAsia="zh-CN" w:bidi="ar"/>
              </w:rPr>
              <w:t>指标为必须响应指标，任意一项不满足要求即做无效投标处理；</w:t>
            </w:r>
          </w:p>
          <w:p>
            <w:pPr>
              <w:keepNext w:val="0"/>
              <w:keepLines w:val="0"/>
              <w:widowControl/>
              <w:numPr>
                <w:ilvl w:val="0"/>
                <w:numId w:val="0"/>
              </w:numPr>
              <w:suppressLineNumbers w:val="0"/>
              <w:ind w:left="400" w:leftChars="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2.</w:t>
            </w:r>
            <w:r>
              <w:rPr>
                <w:rFonts w:hint="eastAsia" w:ascii="黑体" w:hAnsi="宋体" w:eastAsia="黑体" w:cs="黑体"/>
                <w:i w:val="0"/>
                <w:color w:val="000000"/>
                <w:kern w:val="0"/>
                <w:sz w:val="20"/>
                <w:szCs w:val="20"/>
                <w:u w:val="none"/>
                <w:lang w:val="zh-CN" w:eastAsia="zh-CN" w:bidi="ar"/>
              </w:rPr>
              <w:t>加注▲标识的指标为重要指标；</w:t>
            </w:r>
          </w:p>
          <w:p>
            <w:pPr>
              <w:keepNext w:val="0"/>
              <w:keepLines w:val="0"/>
              <w:widowControl/>
              <w:suppressLineNumbers w:val="0"/>
              <w:ind w:firstLine="400" w:firstLineChars="200"/>
              <w:jc w:val="both"/>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3.★及▲标识的指标需按照采购需求表（物资类）备注中明确的要求提供相关证明材料。</w:t>
            </w:r>
          </w:p>
        </w:tc>
      </w:tr>
    </w:tbl>
    <w:p>
      <w:pPr>
        <w:rPr>
          <w:rFonts w:hint="eastAsia"/>
          <w:b w:val="0"/>
          <w:szCs w:val="44"/>
          <w:highlight w:val="none"/>
          <w:lang w:val="zh-CN"/>
        </w:rPr>
      </w:pPr>
    </w:p>
    <w:tbl>
      <w:tblPr>
        <w:tblStyle w:val="3"/>
        <w:tblW w:w="0" w:type="auto"/>
        <w:tblInd w:w="0" w:type="dxa"/>
        <w:shd w:val="clear" w:color="auto" w:fill="auto"/>
        <w:tblLayout w:type="autofit"/>
        <w:tblCellMar>
          <w:top w:w="0" w:type="dxa"/>
          <w:left w:w="0" w:type="dxa"/>
          <w:bottom w:w="0" w:type="dxa"/>
          <w:right w:w="0" w:type="dxa"/>
        </w:tblCellMar>
      </w:tblPr>
      <w:tblGrid>
        <w:gridCol w:w="1803"/>
        <w:gridCol w:w="1803"/>
        <w:gridCol w:w="739"/>
        <w:gridCol w:w="1094"/>
        <w:gridCol w:w="739"/>
        <w:gridCol w:w="1449"/>
        <w:gridCol w:w="709"/>
      </w:tblGrid>
      <w:tr>
        <w:tblPrEx>
          <w:tblCellMar>
            <w:top w:w="0" w:type="dxa"/>
            <w:left w:w="0" w:type="dxa"/>
            <w:bottom w:w="0" w:type="dxa"/>
            <w:right w:w="0" w:type="dxa"/>
          </w:tblCellMar>
        </w:tblPrEx>
        <w:trPr>
          <w:trHeight w:val="1020" w:hRule="atLeast"/>
        </w:trPr>
        <w:tc>
          <w:tcPr>
            <w:tcW w:w="9375"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734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环氧乙烷灭菌器</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封闭耗材（试剂）描述</w:t>
            </w:r>
          </w:p>
        </w:tc>
        <w:tc>
          <w:tcPr>
            <w:tcW w:w="734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耗材（试剂）与设备为同一品牌。</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耗材（开展项目）名称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※规格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环氧乙烷气罐</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厂家自报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18.2万元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b/>
                <w:i w:val="0"/>
                <w:color w:val="000000"/>
                <w:sz w:val="20"/>
                <w:szCs w:val="20"/>
                <w:u w:val="none"/>
              </w:rPr>
            </w:pPr>
          </w:p>
        </w:tc>
      </w:tr>
    </w:tbl>
    <w:p>
      <w:pPr>
        <w:rPr>
          <w:rFonts w:hint="eastAsia"/>
          <w:b w:val="0"/>
          <w:szCs w:val="44"/>
          <w:highlight w:val="none"/>
          <w:lang w:val="zh-CN"/>
        </w:rPr>
      </w:pPr>
    </w:p>
    <w:p>
      <w:pPr>
        <w:rPr>
          <w:rFonts w:hint="eastAsia"/>
          <w:b w:val="0"/>
          <w:szCs w:val="44"/>
          <w:highlight w:val="none"/>
          <w:lang w:val="zh-CN"/>
        </w:rPr>
      </w:pPr>
    </w:p>
    <w:p>
      <w:pPr>
        <w:keepNext w:val="0"/>
        <w:keepLines w:val="0"/>
        <w:widowControl/>
        <w:suppressLineNumbers w:val="0"/>
        <w:jc w:val="left"/>
        <w:textAlignment w:val="center"/>
        <w:rPr>
          <w:rFonts w:hint="eastAsia"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项目2：环氧乙烷气体分解器</w:t>
      </w:r>
    </w:p>
    <w:tbl>
      <w:tblPr>
        <w:tblStyle w:val="3"/>
        <w:tblW w:w="0" w:type="auto"/>
        <w:tblInd w:w="0" w:type="dxa"/>
        <w:shd w:val="clear" w:color="auto" w:fill="auto"/>
        <w:tblLayout w:type="autofit"/>
        <w:tblCellMar>
          <w:top w:w="0" w:type="dxa"/>
          <w:left w:w="0" w:type="dxa"/>
          <w:bottom w:w="0" w:type="dxa"/>
          <w:right w:w="0" w:type="dxa"/>
        </w:tblCellMar>
      </w:tblPr>
      <w:tblGrid>
        <w:gridCol w:w="950"/>
        <w:gridCol w:w="972"/>
        <w:gridCol w:w="2238"/>
        <w:gridCol w:w="252"/>
        <w:gridCol w:w="2615"/>
        <w:gridCol w:w="1309"/>
      </w:tblGrid>
      <w:tr>
        <w:tblPrEx>
          <w:shd w:val="clear" w:color="auto" w:fill="auto"/>
          <w:tblCellMar>
            <w:top w:w="0" w:type="dxa"/>
            <w:left w:w="0" w:type="dxa"/>
            <w:bottom w:w="0" w:type="dxa"/>
            <w:right w:w="0" w:type="dxa"/>
          </w:tblCellMar>
        </w:tblPrEx>
        <w:trPr>
          <w:trHeight w:val="762" w:hRule="atLeast"/>
        </w:trPr>
        <w:tc>
          <w:tcPr>
            <w:tcW w:w="0" w:type="auto"/>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CellMar>
            <w:top w:w="0" w:type="dxa"/>
            <w:left w:w="0" w:type="dxa"/>
            <w:bottom w:w="0" w:type="dxa"/>
            <w:right w:w="0" w:type="dxa"/>
          </w:tblCellMar>
        </w:tblPrEx>
        <w:trPr>
          <w:trHeight w:val="702"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设备</w:t>
            </w:r>
          </w:p>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名称</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环氧乙烷气体分解器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总数量（台/套）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50</w:t>
            </w:r>
          </w:p>
        </w:tc>
      </w:tr>
      <w:tr>
        <w:tblPrEx>
          <w:tblCellMar>
            <w:top w:w="0" w:type="dxa"/>
            <w:left w:w="0" w:type="dxa"/>
            <w:bottom w:w="0" w:type="dxa"/>
            <w:right w:w="0" w:type="dxa"/>
          </w:tblCellMar>
        </w:tblPrEx>
        <w:trPr>
          <w:trHeight w:val="799"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技术和性能参数名称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招标参数和性能要求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用于将环氧乙烷灭菌器排出的环氧乙烷废气分解为水蒸气和二氧化碳，达到安全和环保要求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工作原理</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催化燃烧方式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78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分解效率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环氧乙烷气体分解率≥99.9%，分解为为无害的水蒸气和二氧化碳，并提供第三方检测报告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认证材料</w:t>
            </w: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分解环氧乙烷的能力</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≥7g/min</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匹配环氧乙烷灭菌器的数量</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2台同系列环氧乙烷灭菌器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控制系统</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PLC自动控制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通讯接口</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能与环氧乙烷灭菌器进行信号通讯，达到环氧乙烷灭菌器与分解器的同步运行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工作状态指示器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能显示设备运行的各个阶段，如准备阶段、分解阶段、故障等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开机预热时间</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≤40min</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停机延时功能</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环氧乙烷灭菌器停止运行后，分解器风扇自动延时工作15分钟，以达到冷却目的</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催化床更换周期</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排放方式</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大气排放</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排气管</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最大长度≥50米</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应急旁路</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在分解器发生故障时能自动切换到废气旁路管，使环氧乙烷灭菌器排出的废气经旁路排放，保证环氧乙烷灭菌器的正常运行</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8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报警及安全指标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具备超温报警，低压低风量报警等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设备不良事件情况</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厂家自报设备近三年不良事件情况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配置需求</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主机一台</w:t>
            </w:r>
          </w:p>
        </w:tc>
        <w:tc>
          <w:tcPr>
            <w:tcW w:w="0" w:type="auto"/>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15"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注：</w:t>
            </w:r>
          </w:p>
          <w:p>
            <w:pPr>
              <w:keepNext w:val="0"/>
              <w:keepLines w:val="0"/>
              <w:widowControl/>
              <w:numPr>
                <w:ilvl w:val="0"/>
                <w:numId w:val="0"/>
              </w:numPr>
              <w:suppressLineNumbers w:val="0"/>
              <w:ind w:left="400" w:leftChars="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1.加注*</w:t>
            </w:r>
            <w:r>
              <w:rPr>
                <w:rFonts w:hint="eastAsia" w:ascii="黑体" w:hAnsi="宋体" w:eastAsia="黑体" w:cs="黑体"/>
                <w:i w:val="0"/>
                <w:color w:val="000000"/>
                <w:kern w:val="0"/>
                <w:sz w:val="20"/>
                <w:szCs w:val="20"/>
                <w:u w:val="none"/>
                <w:lang w:val="zh-CN" w:eastAsia="zh-CN" w:bidi="ar"/>
              </w:rPr>
              <w:t>标识的</w:t>
            </w:r>
            <w:r>
              <w:rPr>
                <w:rFonts w:hint="eastAsia" w:ascii="黑体" w:hAnsi="宋体" w:eastAsia="黑体" w:cs="黑体"/>
                <w:i w:val="0"/>
                <w:color w:val="000000"/>
                <w:kern w:val="0"/>
                <w:sz w:val="20"/>
                <w:szCs w:val="20"/>
                <w:u w:val="none"/>
                <w:lang w:val="en-US" w:eastAsia="zh-CN" w:bidi="ar"/>
              </w:rPr>
              <w:t>指标为必须响应指标，任意一项不满足要求即做无效投标处理；</w:t>
            </w:r>
          </w:p>
          <w:p>
            <w:pPr>
              <w:keepNext w:val="0"/>
              <w:keepLines w:val="0"/>
              <w:widowControl/>
              <w:numPr>
                <w:ilvl w:val="0"/>
                <w:numId w:val="0"/>
              </w:numPr>
              <w:suppressLineNumbers w:val="0"/>
              <w:ind w:left="400" w:leftChars="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2.</w:t>
            </w:r>
            <w:r>
              <w:rPr>
                <w:rFonts w:hint="eastAsia" w:ascii="黑体" w:hAnsi="宋体" w:eastAsia="黑体" w:cs="黑体"/>
                <w:i w:val="0"/>
                <w:color w:val="000000"/>
                <w:kern w:val="0"/>
                <w:sz w:val="20"/>
                <w:szCs w:val="20"/>
                <w:u w:val="none"/>
                <w:lang w:val="zh-CN" w:eastAsia="zh-CN" w:bidi="ar"/>
              </w:rPr>
              <w:t>加注</w:t>
            </w:r>
            <w:r>
              <w:rPr>
                <w:rFonts w:hint="eastAsia" w:ascii="黑体" w:hAnsi="宋体" w:eastAsia="黑体" w:cs="黑体"/>
                <w:b/>
                <w:bCs/>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zh-CN" w:eastAsia="zh-CN" w:bidi="ar"/>
              </w:rPr>
              <w:t>标识的指标为重要指标；</w:t>
            </w:r>
          </w:p>
          <w:p>
            <w:pPr>
              <w:ind w:firstLine="400" w:firstLineChars="200"/>
              <w:jc w:val="both"/>
              <w:rPr>
                <w:rFonts w:hint="eastAsia" w:ascii="宋体" w:hAnsi="宋体" w:eastAsia="宋体" w:cs="宋体"/>
                <w:i w:val="0"/>
                <w:color w:val="000000"/>
                <w:sz w:val="22"/>
                <w:szCs w:val="22"/>
                <w:u w:val="none"/>
                <w:lang w:eastAsia="zh-CN"/>
              </w:rPr>
            </w:pPr>
            <w:r>
              <w:rPr>
                <w:rFonts w:hint="eastAsia" w:ascii="黑体" w:hAnsi="宋体" w:eastAsia="黑体" w:cs="黑体"/>
                <w:i w:val="0"/>
                <w:color w:val="000000"/>
                <w:kern w:val="0"/>
                <w:sz w:val="20"/>
                <w:szCs w:val="20"/>
                <w:u w:val="none"/>
                <w:lang w:val="en-US" w:eastAsia="zh-CN" w:bidi="ar"/>
              </w:rPr>
              <w:t>3.*及</w:t>
            </w:r>
            <w:r>
              <w:rPr>
                <w:rFonts w:hint="eastAsia" w:ascii="黑体" w:hAnsi="宋体" w:eastAsia="黑体" w:cs="黑体"/>
                <w:b/>
                <w:bCs/>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en-US" w:eastAsia="zh-CN" w:bidi="ar"/>
              </w:rPr>
              <w:t>标识的指标需按照采购需求表（物资类）备注中明确的要求提供相关证明材料。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88EB3"/>
    <w:multiLevelType w:val="singleLevel"/>
    <w:tmpl w:val="34B88EB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5E4564"/>
    <w:rsid w:val="76D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列出段落1"/>
    <w:basedOn w:val="1"/>
    <w:qFormat/>
    <w:uiPriority w:val="0"/>
    <w:pPr>
      <w:ind w:firstLine="420" w:firstLineChars="200"/>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2024-11-25T12:59:00Z</dcterms:created>
  <dc:creator>DOCTOR</dc:creator>
  <cp:lastModifiedBy>DOCTOR</cp:lastModifiedBy>
  <dcterms:modified xsi:type="dcterms:W3CDTF">2024-12-23T00:37:07Z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