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Lines="50" w:afterLines="50" w:line="572" w:lineRule="exact"/>
        <w:ind w:firstLine="0" w:firstLineChars="0"/>
        <w:jc w:val="center"/>
        <w:rPr>
          <w:rFonts w:hint="eastAsia" w:ascii="宋体" w:hAnsi="宋体" w:cs="宋体"/>
          <w:b/>
          <w:bCs/>
          <w:kern w:val="0"/>
          <w:sz w:val="22"/>
          <w:szCs w:val="22"/>
          <w:lang w:val="zh-CN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  <w:lang w:val="en-US" w:eastAsia="zh-CN"/>
        </w:rPr>
        <w:t>相关证明材料包含注册证、产品彩页、说明书、技术白皮书（生产厂商或进口产品全国总代出具）、检测报告、网页截图等。</w:t>
      </w:r>
    </w:p>
    <w:p>
      <w:pPr>
        <w:pStyle w:val="2"/>
        <w:rPr>
          <w:lang w:val="zh-CN"/>
        </w:rPr>
      </w:pPr>
    </w:p>
    <w:p>
      <w:pPr>
        <w:pStyle w:val="4"/>
        <w:numPr>
          <w:ilvl w:val="0"/>
          <w:numId w:val="1"/>
        </w:numPr>
        <w:rPr>
          <w:rFonts w:hint="eastAsia" w:ascii="黑体" w:hAnsi="黑体" w:cs="黑体"/>
          <w:sz w:val="28"/>
          <w:szCs w:val="28"/>
        </w:rPr>
      </w:pPr>
      <w:bookmarkStart w:id="0" w:name="_Toc128150133"/>
      <w:bookmarkStart w:id="1" w:name="_Toc189"/>
      <w:bookmarkStart w:id="2" w:name="_Toc22387"/>
      <w:bookmarkStart w:id="3" w:name="_Toc132190633"/>
      <w:bookmarkStart w:id="4" w:name="_Toc128397969"/>
      <w:bookmarkStart w:id="5" w:name="_Toc130887499"/>
      <w:bookmarkStart w:id="6" w:name="_Toc127820563"/>
      <w:bookmarkStart w:id="7" w:name="_Toc25703"/>
      <w:bookmarkStart w:id="8" w:name="_Toc128150777"/>
      <w:bookmarkStart w:id="9" w:name="_Toc128151026"/>
      <w:bookmarkStart w:id="10" w:name="_Toc30945"/>
      <w:r>
        <w:rPr>
          <w:rFonts w:hint="eastAsia" w:ascii="黑体" w:hAnsi="黑体" w:cs="黑体"/>
          <w:sz w:val="28"/>
          <w:szCs w:val="28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sz w:val="28"/>
          <w:szCs w:val="28"/>
        </w:rPr>
        <w:t>（商务条款均为实质性条款，不接受负偏离）</w:t>
      </w:r>
    </w:p>
    <w:tbl>
      <w:tblPr>
        <w:tblStyle w:val="6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2"/>
        <w:gridCol w:w="1454"/>
        <w:gridCol w:w="4897"/>
        <w:gridCol w:w="12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签订合同付（预付）0%，物资到货（服务完成）验收后付95%。验收合格且出质保期后无质量问题支付剩余5%（不超过5%）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2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2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2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2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5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供应商应当保证采购单位在使用该物资或其任何一部分时，不受第三方侵权指控。同时，供应商不得向第三方泄露采购机构提供的技术文件等材料。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3"/>
        <w:numPr>
          <w:ilvl w:val="0"/>
          <w:numId w:val="2"/>
        </w:numPr>
        <w:spacing w:before="0" w:after="0" w:line="560" w:lineRule="exact"/>
        <w:ind w:firstLine="560" w:firstLineChars="200"/>
        <w:rPr>
          <w:b w:val="0"/>
          <w:szCs w:val="44"/>
          <w:lang w:val="zh-CN"/>
        </w:rPr>
      </w:pPr>
      <w:bookmarkStart w:id="11" w:name="_Toc132190634"/>
      <w:bookmarkStart w:id="12" w:name="_Toc127820564"/>
      <w:bookmarkStart w:id="13" w:name="_Toc128150778"/>
      <w:bookmarkStart w:id="14" w:name="_Toc130887500"/>
      <w:bookmarkStart w:id="15" w:name="_Toc128151027"/>
      <w:bookmarkStart w:id="16" w:name="_Toc128150134"/>
      <w:bookmarkStart w:id="17" w:name="_Toc128397970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6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5"/>
        <w:gridCol w:w="1244"/>
        <w:gridCol w:w="602"/>
        <w:gridCol w:w="1439"/>
        <w:gridCol w:w="1414"/>
        <w:gridCol w:w="1330"/>
        <w:gridCol w:w="602"/>
        <w:gridCol w:w="11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1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2024-JQ06-W1514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4K荧光胸腔镜系统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0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用于内窥镜下手术治疗，配有3D三维和4K高清胸腹腔镜及荧光技术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具有NMPA认证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3D4K摄像系统主机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分辨率≥3840*2160，支持≥60Hz的动态图像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视角自适应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具备，镜体旋转过程中图像画面始终保持正向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摄像主机屏幕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尺寸≥10英寸触摸屏，可进行系统的全部设置（水印、视觉、按键、色彩调节、图像增强、存储质量、双镜联合、网络、流媒体、异显屏和系统设置等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摄像主机视差调节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3D显示模式下可进行视差调节，具有≥100档动态调节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摄像主机预设模式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支持≥12种预设模式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电子除烟功能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支持电子除烟功能，支持图像画质除烟算法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摄像主机图像畸变校正功能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摄像主机色彩调节功能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可调亮度、对比度、饱和度；R、G、B通道图像增益等色彩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摄像主机信号输出接口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至少包含12G-SDI、DisplayPort、 DVI-I、HDMI2.0、3G-SDI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摄像主机存储空间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内置存储空间≥120G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摄像主机异显屏功能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3D4K荧光一体电子镜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电子镜与主机同一品牌，支持采集 ICG 吲哚菁绿造影剂与血红蛋白结合后，经近红外光照射后发出的非可见光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电子镜图像传感器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双路4K CMOS图像传感器，单个CMOS像素≥800万，分辨率≥3840*2160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电子镜双目图像传输速度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双目图像零时差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电子镜3D/2D环绕模式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3D/2D环绕模式，可360°旋转，图像画面镜体旋转过程中始终保持正向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电子镜按键自定义功能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支持按键功能可自定义，括白平衡、录像、拍照、冻结、放大、缩小、WDR、亮度调整等功能的设定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电子镜自动调焦功能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电子镜放大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具有≥2倍视频放大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医用冷光源屏幕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液晶屏幕显示，屏幕尺寸≥7英寸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医用冷光源联动功能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可根据主机白光或荧光模式联动控制光源输出白光或混合光，无需手动切换光源主机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医用冷光源显色指数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白光照明采用纯白光LED，光谱具有连续度高，显色指数≥90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医用冷光源调节方式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旋钮调节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医用冷光源寿命警示等功能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医用气腹机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最大充气流量≥50升/分 ,最小充气流量：1升/分，与摄像主机同品牌配套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医用气腹机压力范围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（0-30）mmHg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医用气腹机联动排烟功能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可与同品牌气腹机联动控制，支持通过摄像头按键启动气腹机除烟功能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4K3D液晶显示器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尺寸≥32英寸，支持4K超高清视频输入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可视角度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178°（H）/178°（V）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设备指标异常提示和安全报警声、光指示，钢瓶或中央供气低压或高压报警功能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2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3D4K腹腔镜2套。(每套含3D4K荧光主机1台，3D4K荧光一体电子内窥镜2条，医用冷光源1台，医用气腹机1台，医用3D监视器≥32英寸2台，导光束2条，医用台车1台，3D眼镜8个，腹腔镜灭菌盒2个)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企业承诺或配置清单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89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▲标识的指标负偏离≥7项，投标企业技术分值为0分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9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▲标识的指标和“无标识”指标负偏离≥14项，投标企业技术分值为0分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★及▲标识的指标，无法明确的默认由企业提供承诺；</w:t>
            </w:r>
          </w:p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经济要求不接受企业负偏离。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</w:t>
            </w:r>
          </w:p>
        </w:tc>
      </w:tr>
    </w:tbl>
    <w:p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D2250A"/>
    <w:multiLevelType w:val="singleLevel"/>
    <w:tmpl w:val="A4D2250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80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2024-12-27T07:39:39Z</dcterms:created>
  <dc:creator>admin</dc:creator>
  <cp:lastModifiedBy>admin</cp:lastModifiedBy>
  <dcterms:modified xsi:type="dcterms:W3CDTF">2024-12-27T07:40:04Z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