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ilvl w:val="0"/>
          <w:numId w:val="0"/>
        </w:numPr>
        <w:adjustRightInd w:val="0"/>
        <w:snapToGrid w:val="0"/>
        <w:spacing w:after="120" w:afterLines="50" w:line="560" w:lineRule="exact"/>
        <w:jc w:val="both"/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/>
          <w:b/>
          <w:bCs/>
          <w:sz w:val="28"/>
          <w:szCs w:val="36"/>
          <w:lang w:eastAsia="zh-CN"/>
        </w:rPr>
        <w:t>（一）（二）（三）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均为实质性响应条款，不接受负偏离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)</w:t>
      </w:r>
    </w:p>
    <w:p>
      <w:pPr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（一）经济要求</w:t>
      </w:r>
    </w:p>
    <w:tbl>
      <w:tblPr>
        <w:tblStyle w:val="4"/>
        <w:tblW w:w="919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2795"/>
        <w:gridCol w:w="4077"/>
        <w:gridCol w:w="15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交货时间、交货地点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合同签订后1个月内交付，交付地点由甲方指定。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付款及结算方式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签订合同付（预付）0%，物资到货（服务完成）验收后付95%。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提供不少于2人次、7天的工程师维修培训。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维修响应时间≤2小时，维修到达现场时间≤48小时。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</w:tbl>
    <w:p>
      <w:pPr>
        <w:pStyle w:val="6"/>
        <w:spacing w:line="560" w:lineRule="exact"/>
        <w:ind w:left="0" w:leftChars="0" w:firstLine="0" w:firstLineChars="0"/>
        <w:rPr>
          <w:b/>
          <w:bCs w:val="0"/>
          <w:color w:val="auto"/>
          <w:sz w:val="28"/>
          <w:szCs w:val="28"/>
          <w:highlight w:val="non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</w:rPr>
        <w:t>和保密要求</w:t>
      </w:r>
    </w:p>
    <w:p>
      <w:pPr>
        <w:pStyle w:val="6"/>
        <w:spacing w:line="560" w:lineRule="exact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。</w:t>
      </w:r>
    </w:p>
    <w:p>
      <w:pPr>
        <w:pStyle w:val="6"/>
        <w:spacing w:line="560" w:lineRule="exact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6"/>
        <w:spacing w:line="560" w:lineRule="exact"/>
        <w:ind w:left="0" w:leftChars="0" w:firstLine="0" w:firstLineChars="0"/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三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要求</w:t>
      </w:r>
    </w:p>
    <w:p>
      <w:pPr>
        <w:pStyle w:val="6"/>
        <w:spacing w:line="560" w:lineRule="exact"/>
        <w:ind w:firstLine="560"/>
        <w:rPr>
          <w:rFonts w:ascii="宋体" w:hAnsi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  <w:lang w:val="zh-CN"/>
        </w:rPr>
        <w:t>本项目对物资的编目编码、打码贴签要求，投标供应商应当予以明确响应，相关费用包含在报价中。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br w:type="page"/>
      </w: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</w:rPr>
      </w:pPr>
      <w:bookmarkStart w:id="0" w:name="_Toc128397970"/>
      <w:bookmarkStart w:id="1" w:name="_Toc128150778"/>
      <w:bookmarkStart w:id="2" w:name="_Toc132190634"/>
      <w:bookmarkStart w:id="3" w:name="_Toc127820564"/>
      <w:bookmarkStart w:id="4" w:name="_Toc128151027"/>
      <w:bookmarkStart w:id="5" w:name="_Toc8435"/>
      <w:bookmarkStart w:id="6" w:name="_Toc130887500"/>
      <w:bookmarkStart w:id="7" w:name="_Toc128150134"/>
      <w:r>
        <w:rPr>
          <w:rFonts w:hint="eastAsia" w:ascii="黑体" w:hAnsi="黑体" w:cs="黑体"/>
          <w:b w:val="0"/>
          <w:sz w:val="28"/>
          <w:szCs w:val="28"/>
          <w:highlight w:val="none"/>
        </w:rPr>
        <w:t>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>
      <w:pPr>
        <w:jc w:val="center"/>
        <w:rPr>
          <w:rFonts w:hint="eastAsia"/>
          <w:b w:val="0"/>
          <w:szCs w:val="44"/>
          <w:highlight w:val="none"/>
          <w:lang w:val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4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730"/>
        <w:gridCol w:w="720"/>
        <w:gridCol w:w="720"/>
        <w:gridCol w:w="75"/>
        <w:gridCol w:w="3210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47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LA-ICP-MS 激光剥蚀电感耦合等离子体质谱仪及配套设备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LA-ICP-MS 激光剥蚀电感耦合离子体质谱仪及配套设备，其主体电感耦合等离子体质谱仪（可升级搭配激光剥蚀、LC、自动进样器、全自动石墨消解系统等连用技术），检测痕量金属成份。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质量范围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2－260 amu。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质量分辨率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具有高分辨率和标准分辨率两种模式，调节范围0.3-2.0amu，连续可调，可以在一次方法分析过程中同时使用两种模式。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线性动态范围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≥9个数量级。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背景稳定性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定义为5amu处背景信号的平均值，≤0.5cps。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短期稳定性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20分钟稳定性RSD均≤2%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长期稳定性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2小时稳定性RSD均≤3%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灵敏度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在同样一个仪器条件下， Li的灵敏度应≥20 Mcps/ppm，In的灵敏度应≥180 Mcps/ppm， U的灵敏度应≥200 Mcps/ppm。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技术白皮书或彩页或说明书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检出限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Li的检出限应≤0.5ppt, In的检出限应≤0.08ppt, U的检出限应≤0.08ppt。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技术白皮书或彩页或说明书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丰度灵敏度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低质量端: ≤ 1x10</w:t>
            </w:r>
            <w:r>
              <w:rPr>
                <w:rFonts w:hint="default" w:ascii="黑体" w:hAnsi="黑体" w:eastAsia="黑体" w:cs="黑体"/>
                <w:color w:val="000000"/>
                <w:kern w:val="0"/>
                <w:sz w:val="20"/>
                <w:vertAlign w:val="superscript"/>
              </w:rPr>
              <w:t>-6</w:t>
            </w:r>
            <w:r>
              <w:rPr>
                <w:rFonts w:hint="default" w:ascii="黑体" w:hAnsi="黑体" w:eastAsia="黑体" w:cs="黑体"/>
                <w:color w:val="000000"/>
                <w:kern w:val="0"/>
                <w:sz w:val="20"/>
              </w:rPr>
              <w:t>；高质量端: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 xml:space="preserve"> ≤</w:t>
            </w:r>
            <w:r>
              <w:rPr>
                <w:rFonts w:hint="default" w:ascii="黑体" w:hAnsi="黑体" w:eastAsia="黑体" w:cs="黑体"/>
                <w:color w:val="000000"/>
                <w:kern w:val="0"/>
                <w:sz w:val="20"/>
              </w:rPr>
              <w:t xml:space="preserve"> 5x10</w:t>
            </w:r>
            <w:r>
              <w:rPr>
                <w:rFonts w:hint="default" w:ascii="黑体" w:hAnsi="黑体" w:eastAsia="黑体" w:cs="黑体"/>
                <w:color w:val="000000"/>
                <w:kern w:val="0"/>
                <w:sz w:val="20"/>
                <w:vertAlign w:val="superscript"/>
              </w:rPr>
              <w:t>-7</w:t>
            </w:r>
            <w:r>
              <w:rPr>
                <w:rFonts w:hint="default" w:ascii="黑体" w:hAnsi="黑体" w:eastAsia="黑体" w:cs="黑体"/>
                <w:color w:val="000000"/>
                <w:kern w:val="0"/>
                <w:sz w:val="20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质量轴稳定性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≤0.05 amu/24h。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离子源驱动方式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离子源平衡式驱动，</w:t>
            </w:r>
            <w:r>
              <w:rPr>
                <w:rStyle w:val="7"/>
                <w:rFonts w:hint="default" w:hAnsi="黑体"/>
                <w:sz w:val="20"/>
                <w:szCs w:val="20"/>
              </w:rPr>
              <w:t>延长锥使用寿命。如果所提供的设备需要屏蔽炬消除锥口二次电弧放电，则须提供屏蔽炬≥30套。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技术白皮书或彩页或说明书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离子源超低功率待机功能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离子源提供≤500W超低功率待机。（</w:t>
            </w:r>
            <w:r>
              <w:rPr>
                <w:rStyle w:val="8"/>
                <w:rFonts w:hint="default" w:hAnsi="黑体"/>
                <w:sz w:val="20"/>
                <w:szCs w:val="20"/>
              </w:rPr>
              <w:t>需提供加盖制造商公章的软件截图）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技术白皮书或彩页或说明书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锥系统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锥材质为镍、铂材质可选。提手式换锥系统，自带联锁保护。体外换锥维护，无需泄真空就可换锥维护，且避免线圈的损坏。如果属于体内换锥，则需提供备用锥≥10套。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技术白皮书或彩页或说明书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15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提取透镜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提取透镜上可以使用零电压、负电压和正电压等多种提取模式，免维护清洗。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离子传输系统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低背景的离子传输设计，离子前后两次离轴，实现干扰粒子的有效消除（中性粒子、电子、光子），无需更换清洗离子透镜。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技术白皮书或彩页或说明书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碰撞反应池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采用六极杆碰撞/反应池系统，分布式进气系统。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技术白皮书或彩页或说明书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四级杆质量分析器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高精度纯Mo材料四极杆</w:t>
            </w:r>
            <w:r>
              <w:rPr>
                <w:rStyle w:val="7"/>
                <w:rFonts w:hint="default" w:hAnsi="黑体"/>
                <w:sz w:val="20"/>
                <w:szCs w:val="20"/>
              </w:rPr>
              <w:t>，采用≤2.0MHz低频驱动四极杆。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技术白皮书或彩页或说明书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检测器模式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脉冲/模拟双模式不连续打拿极检测器，可以在一次进样过程中同时完成扫描和选择分析（定性和定量分析），并可在模拟和脉冲模式之间实现自动切换。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等离子体可视系统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具有带电磁屏蔽的等离子体实时观测功能，可以通过工作站软件实时监控等离子体状态，实时全彩监测等离子体、锥口和中心管状态。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技术白皮书或彩页或说明书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雾化器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提供多种雾化器可选，包括高效石英同心雾化器、耐高盐同心雾化器、PFA微量进样雾化器，具有高雾化效率及可耐氢氟酸进样。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石英炬管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分体设计的可拆卸式石英炬管，预准直的炬管座内置式气路连接，</w:t>
            </w:r>
            <w:r>
              <w:rPr>
                <w:rStyle w:val="9"/>
                <w:rFonts w:hint="default" w:hAnsi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卡式推入炬管设计，维护无需拆卸气体管路。</w:t>
            </w:r>
            <w:r>
              <w:rPr>
                <w:rStyle w:val="7"/>
                <w:rFonts w:hint="default" w:hAnsi="黑体"/>
                <w:sz w:val="20"/>
                <w:szCs w:val="20"/>
              </w:rPr>
              <w:t>（提供实物图证明）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技术白皮书或彩页或说明书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自动化分析功能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自动化分析功能：仪器形象化界面、自动调谐、自动诊断、定制化用户报告、启动关闭真空，炬位调整，等离子体参数\离子透镜电压优化，标准\碰撞池工作模式切换等。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拓展联用功能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具备HPLC-ICP-MS联用功能：液相色谱与质谱仪为同一制造厂家生产、同一品牌，保证联机技术的稳定性和售后服务的一致性。可以用同一台电脑和同一套软件同时控制现有HPLC和ICP-MS，实现联机全自动同步分析的系统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制造商承诺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拓展联用接口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可配置全自动超级微波-ICP-MS接口：可以用同一台电脑和同一套软件同时控制全自动超级微波和ICP-MS，实现联机全自动“一键式”分析，包括加酸、加盖、消解、定容、混匀、点火、进样、建立标曲、制定报表等一系列自动化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制造商承诺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26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激光剥蚀拓展功能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软件内置激光剥蚀国标方法，且具有软件源代码修改的能力，设备同时显示激光剥蚀系统和ICPMS系统，满足定制化需求，可配置激光剥蚀系统，预置连接端口。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提供软件截图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27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电感耦合等子体质谱仪主机一套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28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专用分析软件配置要求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ICP-MS专用分析软件以及在线帮助系统一套：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快速进样控制软件模块。（提供软件截图证明）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ETV固体进样控制软件模块。（提供软件截图证明）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全自动超级微波消解装置控制软件模块。（提供软件截图证明）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29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辅助设备配置要求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工作站：≥Windows10 系统，≥Intel i7 十二核处理器，内存≥32G DDR4 3000MHz，硬盘≥1TB固态硬盘+2TB机械硬盘，≥23英寸高清显示器，≥2个USB3.0接口，双网卡。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冷却循环水系统：制冷量≥2100W，水箱容积</w:t>
            </w:r>
            <w:r>
              <w:rPr>
                <w:rFonts w:ascii="黑体" w:hAnsi="黑体" w:eastAsia="黑体" w:cs="黑体"/>
                <w:color w:val="000000"/>
                <w:kern w:val="0"/>
                <w:sz w:val="20"/>
              </w:rPr>
              <w:t>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2L，电压A</w:t>
            </w:r>
            <w:r>
              <w:rPr>
                <w:rFonts w:ascii="黑体" w:hAnsi="黑体" w:eastAsia="黑体" w:cs="黑体"/>
                <w:color w:val="000000"/>
                <w:kern w:val="0"/>
                <w:sz w:val="20"/>
              </w:rPr>
              <w:t xml:space="preserve">C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220V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30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通风系统配置要求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1.柜体材质：方钢型材，表面防腐处理。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2.正面活动视窗、左右侧板及后背板，采用5mm厚无色聚碳酸酯（PC）材质，具有较高的硬度和透明度，长期不变色，不变脆。</w:t>
            </w:r>
          </w:p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3.所有聚碳酸酯（PC）板均开设进风槽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4.操作区顶部配置均流板，使气流稳定均一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5.过滤系统：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1)风机：3个优质EC风机，无火花无电刷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2)G4级初效预过滤器：3块，对5um颗粒物的过滤效率</w:t>
            </w:r>
            <w:r>
              <w:rPr>
                <w:rFonts w:ascii="黑体" w:hAnsi="黑体" w:eastAsia="黑体" w:cs="黑体"/>
                <w:color w:val="000000"/>
                <w:kern w:val="0"/>
                <w:sz w:val="20"/>
              </w:rPr>
              <w:t>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90%，保护主过滤器，提供检测报告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3)主过滤器：3块键合活性炭过滤器，吸附能力按照JG/T 385标准执行，提供检测报告。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6.安全控制系统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1)实时监测风速，异常时发出声音和灯光报警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2)实时监测过滤器寿命，到期前发出声音和灯光报警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3)CVA和VAV双功能，可根据实验要求随时切换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31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配套耗材（试剂）要求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调谐液和校正液 ，1套。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一年耗材要求：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石英矩管外管，1根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蠕动泵排液管，1包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蠕动泵进样管，1包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32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业绩要求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投标型号的产品有5年及以上制造和销售历史，保证仪器性能的成熟性和稳定性，提供销售合同作为佐证。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合同复印件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33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高新技术企业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产品生产企业应为高新技术企业。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34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生产企业规模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为保证产品质量，产品生产企业应具备成规模的研发、生产、售后能力、厂房面积和与产品相匹配的生产设备数量。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35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科研能力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产品生产企业应承担国家或军队科研项目。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lang w:eastAsia="zh-CN"/>
              </w:rPr>
              <w:t>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▲标识的指标负偏离≥4项，投标企业技术分值为0分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▲标识的指标和“无标识”指标负偏离≥20项，投标企业技术分值为0分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1.加注*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指标为必须响应指标，任意一项不满足要求即做无效投标处理；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标识的指标为重要指标；</w:t>
            </w:r>
          </w:p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3.*及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标识的指标需按照采购需求表（物资类）备注中明确的要求提供相关证明材料。</w:t>
            </w:r>
          </w:p>
        </w:tc>
      </w:tr>
    </w:tbl>
    <w:p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D3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7">
    <w:name w:val="font2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31"/>
    <w:basedOn w:val="5"/>
    <w:qFormat/>
    <w:uiPriority w:val="0"/>
    <w:rPr>
      <w:rFonts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9">
    <w:name w:val="font71"/>
    <w:basedOn w:val="5"/>
    <w:qFormat/>
    <w:uiPriority w:val="0"/>
    <w:rPr>
      <w:rFonts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2025-01-08T23:58:40Z</dcterms:created>
  <dc:creator>DOCTOR</dc:creator>
  <cp:lastModifiedBy>DOCTOR</cp:lastModifiedBy>
  <dcterms:modified xsi:type="dcterms:W3CDTF">2025-01-08T23:58:43Z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