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numPr>
          <w:ilvl w:val="0"/>
          <w:numId w:val="0"/>
        </w:numPr>
        <w:adjustRightInd w:val="0"/>
        <w:snapToGrid w:val="0"/>
        <w:spacing w:after="120" w:afterLines="50" w:line="560" w:lineRule="exact"/>
        <w:jc w:val="both"/>
        <w:rPr>
          <w:rFonts w:hint="eastAsia" w:hAnsi="宋体"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(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</w:t>
      </w:r>
      <w:r>
        <w:rPr>
          <w:rFonts w:hint="eastAsia" w:ascii="黑体" w:hAnsi="黑体" w:cs="黑体"/>
          <w:b w:val="0"/>
          <w:sz w:val="28"/>
          <w:szCs w:val="28"/>
          <w:highlight w:val="none"/>
        </w:rPr>
        <w:t>要求</w:t>
      </w:r>
      <w:r>
        <w:rPr>
          <w:rFonts w:hint="eastAsia"/>
          <w:b/>
          <w:bCs/>
          <w:sz w:val="28"/>
          <w:szCs w:val="36"/>
          <w:lang w:eastAsia="zh-CN"/>
        </w:rPr>
        <w:t>（一）（二）（三）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val="en-US" w:eastAsia="zh-CN"/>
        </w:rPr>
        <w:t>均为实质性响应条款，不接受负偏离</w:t>
      </w:r>
      <w:r>
        <w:rPr>
          <w:rFonts w:hint="eastAsia" w:hAnsi="宋体"/>
          <w:bCs/>
          <w:sz w:val="28"/>
          <w:szCs w:val="28"/>
          <w:highlight w:val="none"/>
          <w:lang w:val="en-US" w:eastAsia="zh-CN"/>
        </w:rPr>
        <w:t>)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（一）经济要求</w:t>
      </w:r>
    </w:p>
    <w:tbl>
      <w:tblPr>
        <w:tblStyle w:val="5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1324"/>
        <w:gridCol w:w="5526"/>
        <w:gridCol w:w="95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验收合格后满一年无质量问题支付剩余5%（不超过5%）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7"/>
        <w:spacing w:line="560" w:lineRule="exact"/>
        <w:ind w:left="0" w:leftChars="0" w:firstLine="0" w:firstLineChars="0"/>
        <w:rPr>
          <w:b/>
          <w:bCs w:val="0"/>
          <w:color w:val="auto"/>
          <w:sz w:val="28"/>
          <w:szCs w:val="28"/>
          <w:highlight w:val="non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</w:rPr>
        <w:t>和保密要求</w:t>
      </w:r>
    </w:p>
    <w:p>
      <w:pPr>
        <w:pStyle w:val="7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材料</w:t>
      </w: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。</w:t>
      </w:r>
    </w:p>
    <w:p>
      <w:pPr>
        <w:pStyle w:val="7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基于项目合同履行形成的知识产权和其他权益，其权属归采购单位所有，法律另有规定的除外。</w:t>
      </w:r>
    </w:p>
    <w:p>
      <w:pPr>
        <w:pStyle w:val="7"/>
        <w:spacing w:line="560" w:lineRule="exact"/>
        <w:ind w:left="0" w:leftChars="0" w:firstLine="0" w:firstLineChars="0"/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三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lang w:val="zh-CN"/>
        </w:rPr>
        <w:t>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lang w:val="zh-CN"/>
        </w:rPr>
        <w:t>要求</w:t>
      </w:r>
    </w:p>
    <w:p>
      <w:pPr>
        <w:pStyle w:val="7"/>
        <w:spacing w:line="560" w:lineRule="exact"/>
        <w:ind w:firstLine="560"/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</w:pPr>
      <w:r>
        <w:rPr>
          <w:rFonts w:hint="eastAsia" w:ascii="黑体" w:hAnsi="宋体" w:eastAsia="黑体" w:cs="黑体"/>
          <w:i w:val="0"/>
          <w:color w:val="000000"/>
          <w:kern w:val="0"/>
          <w:sz w:val="20"/>
          <w:szCs w:val="20"/>
          <w:u w:val="none"/>
          <w:lang w:val="zh-CN" w:eastAsia="zh-CN" w:bidi="ar"/>
        </w:rPr>
        <w:t>本项目对物资的编目编码、打码贴签要求，投标供应商应当予以明确响应，相关费用包含在报价中。</w:t>
      </w:r>
    </w:p>
    <w:p>
      <w:pPr>
        <w:rPr>
          <w:rFonts w:hint="eastAsia"/>
          <w:lang w:eastAsia="zh-CN"/>
        </w:rPr>
      </w:pPr>
    </w:p>
    <w:p>
      <w:pPr>
        <w:rPr>
          <w:rFonts w:hint="eastAsia" w:ascii="宋体" w:hAnsi="宋体"/>
          <w:bCs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z w:val="28"/>
          <w:szCs w:val="28"/>
          <w:highlight w:val="none"/>
          <w:lang w:val="zh-CN"/>
        </w:rPr>
        <w:br w:type="page"/>
      </w:r>
    </w:p>
    <w:p>
      <w:pPr>
        <w:pStyle w:val="4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highlight w:val="none"/>
        </w:rPr>
      </w:pPr>
      <w:bookmarkStart w:id="0" w:name="_Toc130887500"/>
      <w:bookmarkStart w:id="1" w:name="_Toc128150134"/>
      <w:bookmarkStart w:id="2" w:name="_Toc128151027"/>
      <w:bookmarkStart w:id="3" w:name="_Toc8435"/>
      <w:bookmarkStart w:id="4" w:name="_Toc132190634"/>
      <w:bookmarkStart w:id="5" w:name="_Toc128397970"/>
      <w:bookmarkStart w:id="6" w:name="_Toc128150778"/>
      <w:bookmarkStart w:id="7" w:name="_Toc127820564"/>
      <w:r>
        <w:rPr>
          <w:rFonts w:hint="eastAsia" w:ascii="黑体" w:hAnsi="黑体" w:cs="黑体"/>
          <w:b w:val="0"/>
          <w:sz w:val="28"/>
          <w:szCs w:val="28"/>
          <w:highlight w:val="none"/>
        </w:rPr>
        <w:t>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tbl>
      <w:tblPr>
        <w:tblStyle w:val="5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4"/>
        <w:gridCol w:w="1263"/>
        <w:gridCol w:w="446"/>
        <w:gridCol w:w="548"/>
        <w:gridCol w:w="3601"/>
        <w:gridCol w:w="559"/>
        <w:gridCol w:w="157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等离子灭菌器</w:t>
            </w:r>
          </w:p>
        </w:tc>
        <w:tc>
          <w:tcPr>
            <w:tcW w:w="3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2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300（2台）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用于不能采用湿热法灭菌的腔镜、管路及软式内镜等器械的灭菌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具备NMPA认证和具备CE认证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具备FDA认证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灭菌方法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通过等离子发生器产生过氧化氢等离子体进行灭菌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灭菌程序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灭菌程序至少包括标准灭菌程序（可处理硬式内窥镜）；软式内镜灭菌程序（可处理软式内窥镜）；快速灭菌程序（可处理非管腔的器械）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快速灭菌程序时间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灭菌程序最短灭菌时间≤25分钟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硬式内镜灭菌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可以对内径≥0.7mm、长度≥500mm 的硬性管腔灭菌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提供卫生部认定的国家级消毒产品检验机构出具的对 0.7mm 管腔灭菌能力的正式检测报告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软式内镜灭菌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可对内径≥1mm、长度≥850mm 的软性管腔灭菌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提供消毒产品检验机构出具的检测报告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灭菌温度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56℃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灭菌周期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一个灭菌周期进行两次循环灭菌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提供消毒产品检验机构出具的检测报告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密封胶囊卡匣式包装；具备RFID标签，包含但不限于效期、插入时间、胶囊状态、完成循环数等信息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灭菌剂包装浓度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≤60%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灭菌剂保护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灭菌剂外包装有灭菌剂泄露化学颜色指示条，警示保护操作人员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矩形，舱体容积≥150L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灭菌舱门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双开门设计，气动升降门，可脚踏开关控制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彩色触摸屏，显示屏上显示舱体过氧化氢浓度、温度、压力等实时数据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灭菌记录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实时秒级别监测，可打印灭菌时间，显示压力、温度、灭菌过程和故障显示等，并可电脑输出该数据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使用说明书，灭菌记录打印单，技术白皮书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等离子发生器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舱内产生等离子体，采用低频等离子技术（频率≤55kHz）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灭菌终端能与医院HIS系统、个人电脑及器械追溯系统连接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生物阅读器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配备原厂生物阅读器，生物监测可联网，存储记录≥20000条，支持数据导出；灭菌结果检测时间≤15分钟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生物监测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生物监测同时具备PCD（挑战装置）功能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灭菌后器械管腔过氧化氢残留量测试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无残留、无毒害、过氧化氢残留量不锈钢管腔＜0.01mg/cm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，聚四氟乙烯管腔＜0.006mg/cm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vertAlign w:val="superscript"/>
                <w:lang w:val="en-US" w:eastAsia="zh-CN" w:bidi="ar"/>
              </w:rPr>
              <w:t>2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兼容许可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 Olympus、Storz、Stryke、wolf、施乐辉等主流品牌厂家的内镜、器械灭菌与该低温设备兼容许可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过氧化氢浓度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在过氧化氢进入灭菌舱体前对过氧化氢进行提纯和浓缩。设备灭菌程序运行时舱体过氧化氢浓度应≥80%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预处理功能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具备预热功能，辅助去除多余水分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达芬奇兼容许可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提供达芬奇机器人生产厂家发布的对所有型号镜头（5mm、8mm、12mm）的灭菌兼容许可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提供达芬奇兼容认证许可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灭菌指导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每个灭菌循环前屏幕显示灭菌循环对应的灭菌器械种类，并具备正确装载的指导图片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配置需求（单台）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灭菌器主机1台，生物阅读器1台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▲标识的指标和“无标识”指标负偏离≥30%，投标企业技术分值为0分；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38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指标为必须响应指标，任意一项不满足要求即做无效投标处理；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3.★及▲标识的指标需按照采购需求表（物资类）备注中明确的要求提供相关证明材料。</w:t>
            </w:r>
          </w:p>
        </w:tc>
      </w:tr>
    </w:tbl>
    <w:p>
      <w:pPr>
        <w:rPr>
          <w:rFonts w:hint="eastAsia"/>
          <w:b w:val="0"/>
          <w:szCs w:val="44"/>
          <w:highlight w:val="none"/>
          <w:lang w:val="zh-CN"/>
        </w:rPr>
      </w:pPr>
    </w:p>
    <w:p>
      <w:pPr>
        <w:pStyle w:val="2"/>
        <w:rPr>
          <w:rFonts w:hint="eastAsia"/>
          <w:b w:val="0"/>
          <w:szCs w:val="44"/>
          <w:highlight w:val="none"/>
          <w:lang w:val="zh-CN"/>
        </w:rPr>
      </w:pPr>
    </w:p>
    <w:tbl>
      <w:tblPr>
        <w:tblStyle w:val="5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1"/>
        <w:gridCol w:w="2292"/>
        <w:gridCol w:w="725"/>
        <w:gridCol w:w="1065"/>
        <w:gridCol w:w="722"/>
        <w:gridCol w:w="1406"/>
        <w:gridCol w:w="4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等离子灭菌器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封闭耗材（试剂）描述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耗材（开展项目）名称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过氧化氢低温等离子灭菌器卡匣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32万元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bookmarkStart w:id="8" w:name="_GoBack"/>
      <w:bookmarkEnd w:id="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88EB3"/>
    <w:multiLevelType w:val="singleLevel"/>
    <w:tmpl w:val="34B88EB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90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2025-01-15T00:19:23Z</dcterms:created>
  <dc:creator>DOCTOR</dc:creator>
  <cp:lastModifiedBy>DOCTOR</cp:lastModifiedBy>
  <dcterms:modified xsi:type="dcterms:W3CDTF">2025-01-15T00:19:26Z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