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08" w:type="dxa"/>
        <w:jc w:val="center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604"/>
        <w:gridCol w:w="567"/>
        <w:gridCol w:w="425"/>
        <w:gridCol w:w="1701"/>
        <w:gridCol w:w="893"/>
        <w:gridCol w:w="2631"/>
        <w:gridCol w:w="822"/>
        <w:gridCol w:w="474"/>
        <w:gridCol w:w="283"/>
        <w:gridCol w:w="12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10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bookmarkStart w:id="1" w:name="_GoBack"/>
            <w:bookmarkStart w:id="0" w:name="RANGE!A1:J41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cs="宋体" w:asciiTheme="minorEastAsia" w:hAnsiTheme="minorEastAsia"/>
                <w:color w:val="FF0000"/>
                <w:kern w:val="0"/>
                <w:sz w:val="20"/>
                <w:szCs w:val="20"/>
              </w:rPr>
              <w:t>2024-JQ06-W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  <w:lang w:val="en-US" w:eastAsia="zh-CN"/>
              </w:rPr>
              <w:t>5079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心电分析仪</w:t>
            </w:r>
          </w:p>
        </w:tc>
        <w:tc>
          <w:tcPr>
            <w:tcW w:w="157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45（3台）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1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可同步采集、分析、打印12导联（可拓展到15导联）患者心电数据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资质认证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具备NMPA（CFDA）认证，同时具备FDA认证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共模抑制比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≥125dB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采样率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≥512000HZ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起搏检测频率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75000Hz/channel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采集模式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常规采集，10秒预采集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频率响应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0.04-150Hz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输入阻抗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≥50MΩ@10Hz，抗除颤电击保护功能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抗极化电压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≥±600mV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抗干扰滤波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具有交流滤波、肌电滤波、漂移滤波功能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显示器规格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≥10英寸液晶显示屏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分析软件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FDA认证的12SL自动测量诊断软件，具有性别-年龄特异性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信号质量检测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具有连续信号质量检测软件，可显示当前信号质量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与院内网连接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可连入MUSE心电信息管理系统，传输原始数据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产品彩页、说明书或技术白皮书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危急值提醒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可以设置危急值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急性冠脉综合征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具备急性冠脉综合征自动诊断功能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全息浏览图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具备全息浏览图功能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键盘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医用级防水触摸式键盘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配置需求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（每台套）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主机一台，台车一台，打印机一台，扫码枪一个，电池一块，存储卡一个，导联线一套，肢体夹一套，吸球一套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1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物资到货（服务完成）验收后付95%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履约保证金/质量保证金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验收合格后满一年无质量问题支付剩余5%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售后服务1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保修年限不低于三年，全年故障停机时间不高于5%（按365日/年计算)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原厂授权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售后服务3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维修响应时间≤4小时，京内维修到达现场时间≤12小时，京外维修到达现场时间≤48小时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w w:val="90"/>
                <w:kern w:val="0"/>
                <w:sz w:val="20"/>
                <w:szCs w:val="20"/>
              </w:rPr>
              <w:t>备品备件要求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由供应商承诺项目使用寿命周期内保证零配件供应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1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 w:cs="宋体" w:hAnsiTheme="minorEastAsia"/>
                <w:b/>
                <w:color w:val="000000"/>
                <w:kern w:val="0"/>
                <w:sz w:val="20"/>
                <w:szCs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jc w:val="center"/>
              <w:rPr>
                <w:rFonts w:cs="宋体" w:asciiTheme="minorEastAsia" w:hAnsiTheme="minorEastAsia"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w w:val="9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849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left="-105" w:leftChars="-50" w:right="-105" w:rightChars="-50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▲标识的指标和“无标识”指标负偏离≥</w:t>
            </w:r>
            <w:r>
              <w:rPr>
                <w:rFonts w:hint="eastAsia" w:cs="宋体" w:asciiTheme="minorEastAsia" w:hAnsiTheme="minorEastAsia"/>
                <w:color w:val="FF0000"/>
                <w:kern w:val="0"/>
                <w:sz w:val="20"/>
                <w:szCs w:val="20"/>
                <w:highlight w:val="yellow"/>
              </w:rPr>
              <w:t>50%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010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cs="Times New Roman" w:asciiTheme="minorEastAsia" w:hAnsiTheme="minorEastAsia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widowControl/>
              <w:adjustRightInd w:val="0"/>
              <w:snapToGrid w:val="0"/>
              <w:ind w:left="-105" w:leftChars="-50" w:right="-105" w:rightChars="-50" w:firstLine="500" w:firstLineChars="250"/>
              <w:jc w:val="left"/>
              <w:rPr>
                <w:rFonts w:cs="宋体"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  <w:bookmarkEnd w:id="1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6CA9"/>
    <w:rsid w:val="003649D2"/>
    <w:rsid w:val="004A39F5"/>
    <w:rsid w:val="005A4649"/>
    <w:rsid w:val="00956CA9"/>
    <w:rsid w:val="00D8159F"/>
    <w:rsid w:val="00E56A74"/>
    <w:rsid w:val="2DCB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191</Words>
  <Characters>1092</Characters>
  <Lines>9</Lines>
  <Paragraphs>2</Paragraphs>
  <TotalTime>0</TotalTime>
  <ScaleCrop>false</ScaleCrop>
  <LinksUpToDate>false</LinksUpToDate>
  <CharactersWithSpaces>1281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2024-11-09T09:11:00Z</dcterms:created>
  <dc:creator>doctor</dc:creator>
  <cp:lastModifiedBy>admin</cp:lastModifiedBy>
  <dcterms:modified xsi:type="dcterms:W3CDTF">2025-01-23T06:57:47Z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