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采购需求表（物资类）</w:t>
      </w:r>
    </w:p>
    <w:tbl>
      <w:tblPr>
        <w:tblStyle w:val="5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实时荧光定量PCR</w:t>
            </w: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  <w:t>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46.15万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用于特异基因检测、核酸定量、基因表达水平分析、基因突变检测、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GMO检测及产物特异性分析等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具备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CFDA和FDA或CE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模板浓度差异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能区分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1000拷贝和2000拷贝模板浓度的差异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 xml:space="preserve">                                                              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线性范围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10-10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vertAlign w:val="superscript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个拷贝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检测灵敏度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可检测单拷贝基因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精密度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小于等于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1.5倍拷贝数差异，置信度大于等于99.8%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反应时间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40个循环反应时间，96孔标准检测小于等于60分钟；40个循环反应时间，384孔检测小于等于40分钟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检测模式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杂交探针、单探针、燃料模式、水解探针、分子信标、蝎形探针、高分辨率熔解曲线（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HRM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）等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模块规格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支持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96孔模板，可自行更换升级至384模块，更换后无需校准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样本容量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宋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96孔板 </w:t>
            </w:r>
            <w:r>
              <w:rPr>
                <w:rFonts w:hint="default" w:ascii="Arial" w:hAnsi="Arial" w:cs="Arial"/>
              </w:rPr>
              <w:t>≥</w:t>
            </w:r>
            <w:r>
              <w:rPr>
                <w:rFonts w:hint="eastAsia" w:ascii="Arial" w:hAnsi="Arial" w:cs="Arial"/>
                <w:lang w:eastAsia="zh-CN"/>
              </w:rPr>
              <w:t>（</w:t>
            </w:r>
            <w:r>
              <w:rPr>
                <w:rFonts w:hint="eastAsia" w:ascii="Arial" w:hAnsi="Arial" w:cs="Arial"/>
                <w:lang w:val="en-US" w:eastAsia="zh-CN"/>
              </w:rPr>
              <w:t>10-100</w:t>
            </w:r>
            <w:r>
              <w:rPr>
                <w:rFonts w:hint="eastAsia" w:ascii="Arial" w:hAnsi="Arial" w:cs="Arial"/>
                <w:lang w:eastAsia="zh-CN"/>
              </w:rPr>
              <w:t>）</w:t>
            </w:r>
            <w:r>
              <w:rPr>
                <w:rFonts w:hint="eastAsia" w:ascii="Arial" w:hAnsi="Arial" w:cs="Arial"/>
                <w:lang w:val="en-US" w:eastAsia="zh-CN"/>
              </w:rPr>
              <w:t>ul；384孔板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Arial" w:hAnsi="Arial" w:cs="Arial"/>
              </w:rPr>
              <w:t>≥</w:t>
            </w:r>
            <w:r>
              <w:rPr>
                <w:rFonts w:hint="eastAsia" w:ascii="Arial" w:hAnsi="Arial" w:cs="Arial"/>
                <w:lang w:eastAsia="zh-CN"/>
              </w:rPr>
              <w:t>（</w:t>
            </w:r>
            <w:r>
              <w:rPr>
                <w:rFonts w:hint="eastAsia" w:ascii="Arial" w:hAnsi="Arial" w:cs="Arial"/>
                <w:lang w:val="en-US" w:eastAsia="zh-CN"/>
              </w:rPr>
              <w:t>3-20</w:t>
            </w:r>
            <w:r>
              <w:rPr>
                <w:rFonts w:hint="eastAsia" w:ascii="Arial" w:hAnsi="Arial" w:cs="Arial"/>
                <w:lang w:eastAsia="zh-CN"/>
              </w:rPr>
              <w:t>）</w:t>
            </w:r>
            <w:r>
              <w:rPr>
                <w:rFonts w:hint="eastAsia" w:ascii="Arial" w:hAnsi="Arial" w:cs="Arial"/>
                <w:lang w:val="en-US" w:eastAsia="zh-CN"/>
              </w:rPr>
              <w:t>ul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加热方式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采用半导体加热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最大升温速度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宋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Arial" w:hAnsi="Arial" w:cs="Arial"/>
              </w:rPr>
              <w:t>≥</w:t>
            </w:r>
            <w:r>
              <w:rPr>
                <w:rFonts w:hint="eastAsia" w:ascii="Arial" w:hAnsi="Arial" w:cs="Arial"/>
                <w:lang w:val="en-US" w:eastAsia="zh-CN"/>
              </w:rPr>
              <w:t>4.8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℃</w:t>
            </w:r>
            <w:r>
              <w:rPr>
                <w:rFonts w:hint="eastAsia" w:ascii="宋体" w:hAnsi="宋体" w:cs="宋体"/>
                <w:lang w:val="en-US" w:eastAsia="zh-CN"/>
              </w:rPr>
              <w:t>/s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最大降温速度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default" w:ascii="Arial" w:hAnsi="Arial" w:cs="Arial"/>
              </w:rPr>
              <w:t>≥</w:t>
            </w:r>
            <w:r>
              <w:rPr>
                <w:rFonts w:hint="eastAsia" w:ascii="Arial" w:hAnsi="Arial" w:cs="Arial"/>
                <w:lang w:val="en-US" w:eastAsia="zh-CN"/>
              </w:rPr>
              <w:t>2.5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℃</w:t>
            </w:r>
            <w:r>
              <w:rPr>
                <w:rFonts w:hint="eastAsia" w:ascii="宋体" w:hAnsi="宋体" w:cs="宋体"/>
                <w:lang w:val="en-US" w:eastAsia="zh-CN"/>
              </w:rPr>
              <w:t>/s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温度准确性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Arial" w:hAnsi="Arial" w:eastAsia="黑体" w:cs="Arial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0.1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温度均一性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±</w:t>
            </w:r>
            <w:r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0.1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孔间检测的重复性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CV </w:t>
            </w:r>
            <w:r>
              <w:rPr>
                <w:rFonts w:hint="default" w:ascii="Arial" w:hAnsi="Arial" w:eastAsia="黑体" w:cs="Arial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≤</w:t>
            </w:r>
            <w:r>
              <w:rPr>
                <w:rFonts w:hint="eastAsia" w:ascii="Arial" w:hAnsi="Arial" w:eastAsia="黑体" w:cs="Arial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0.15%（50nmol/L荧光浓度）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检测系统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冷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CCD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LED光源（寿命 </w:t>
            </w:r>
            <w:r>
              <w:rPr>
                <w:rFonts w:hint="default" w:ascii="Arial" w:hAnsi="Arial" w:eastAsia="黑体" w:cs="Arial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≥</w:t>
            </w:r>
            <w:r>
              <w:rPr>
                <w:rFonts w:hint="eastAsia" w:ascii="Arial" w:hAnsi="Arial" w:eastAsia="黑体" w:cs="Arial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10000小时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激发波长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波长范围（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390-710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）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检测通道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default" w:ascii="Arial" w:hAnsi="Arial" w:eastAsia="黑体" w:cs="Arial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≥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6通道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eastAsia="zh-CN" w:bidi="ar"/>
              </w:rPr>
              <w:t>颜色补偿功能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具备颜色补偿功能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软件要求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具有定性定量（决定定量、相对定量）、自动报告熔解温度、自动报告基因分型结果、高分辨熔解曲线分析等功能，配套的运行和结果分析软件，能够针对观察到的扩增情况随时增加循环数目，实时动态监测，扩增和检测的同时进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燃料校正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无需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ROX燃料校正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预警和安全指标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设备指标异常提示和安全报警生、光指示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实时荧光定量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PCR仪一套（含主机一台、工作站一台、配套软件等其他附件）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合同签订后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签订合同付（预付）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%，物资到货（服务完成）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70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eastAsia="zh-CN" w:bidi="ar"/>
              </w:rPr>
              <w:t>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验收后付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履约保证金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验收合格后满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年无质量问题支付剩余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保修年限不低于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年，全年故障停机时间不高于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提供不少于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人次、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维修响应时间≤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小时，维修到达现场时间≤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24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</w:tbl>
    <w:p>
      <w:pPr>
        <w:pStyle w:val="2"/>
        <w:spacing w:line="240" w:lineRule="auto"/>
        <w:rPr>
          <w:rFonts w:hint="eastAsia" w:ascii="方正小标宋简体" w:hAnsi="方正小标宋简体" w:eastAsia="方正小标宋简体" w:cs="方正小标宋简体"/>
          <w:kern w:val="0"/>
          <w:sz w:val="2"/>
          <w:szCs w:val="2"/>
          <w:highlight w:val="none"/>
        </w:rPr>
      </w:pPr>
      <w:bookmarkStart w:id="0" w:name="_GoBack"/>
      <w:bookmarkEnd w:id="0"/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pPr>
        <w:pStyle w:val="3"/>
        <w:spacing w:after="0" w:line="572" w:lineRule="exact"/>
        <w:ind w:left="0" w:leftChars="0"/>
        <w:rPr>
          <w:rFonts w:ascii="黑体" w:hAnsi="黑体" w:eastAsia="黑体" w:cs="黑体"/>
          <w:kern w:val="0"/>
          <w:sz w:val="32"/>
          <w:szCs w:val="32"/>
          <w:highlight w:val="none"/>
        </w:rPr>
      </w:pPr>
    </w:p>
    <w:p>
      <w:r>
        <w:rPr>
          <w:rFonts w:hint="default" w:ascii="Arial" w:hAnsi="Arial" w:cs="Arial"/>
        </w:rPr>
        <w:t>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23CF8"/>
    <w:rsid w:val="11666B9B"/>
    <w:rsid w:val="204049ED"/>
    <w:rsid w:val="20581AFC"/>
    <w:rsid w:val="27BE24EB"/>
    <w:rsid w:val="48B67BC3"/>
    <w:rsid w:val="4CE45831"/>
    <w:rsid w:val="59C459C9"/>
    <w:rsid w:val="5DEA2395"/>
    <w:rsid w:val="607F36BD"/>
    <w:rsid w:val="62030F4E"/>
    <w:rsid w:val="686F6AD4"/>
    <w:rsid w:val="6DAB3BD1"/>
    <w:rsid w:val="71FE69C9"/>
    <w:rsid w:val="72153B52"/>
    <w:rsid w:val="765A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1811</Words>
  <Characters>1977</Characters>
  <Lines>0</Lines>
  <Paragraphs>0</Paragraphs>
  <TotalTime>5</TotalTime>
  <ScaleCrop>false</ScaleCrop>
  <LinksUpToDate>false</LinksUpToDate>
  <CharactersWithSpaces>2076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zyp</cp:lastModifiedBy>
  <cp:lastPrinted>2024-12-16T01:27:00Z</cp:lastPrinted>
  <dcterms:modified xsi:type="dcterms:W3CDTF">2025-02-07T07:04:22Z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F5855E7D9A4A4B38A7549204CE23D41D</vt:lpwstr>
  </property>
</Properties>
</file>