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</w:pPr>
      <w:bookmarkStart w:id="0" w:name="_Toc128147351"/>
      <w:bookmarkStart w:id="1" w:name="_Toc128397373"/>
      <w:bookmarkStart w:id="2" w:name="_Toc10817"/>
      <w:bookmarkStart w:id="3" w:name="_Toc128147494"/>
      <w:bookmarkStart w:id="4" w:name="_Toc130886520"/>
      <w:bookmarkStart w:id="5" w:name="_Toc2775"/>
      <w:bookmarkStart w:id="6" w:name="_Toc130887374"/>
      <w:bookmarkStart w:id="7" w:name="_Toc132398710"/>
      <w:bookmarkStart w:id="8" w:name="_Toc127547642"/>
      <w:bookmarkStart w:id="9" w:name="_Toc23299"/>
      <w:bookmarkStart w:id="10" w:name="_Toc27166"/>
      <w:bookmarkStart w:id="11" w:name="_Toc11336"/>
      <w:bookmarkStart w:id="12" w:name="_Toc128149621"/>
      <w:bookmarkStart w:id="13" w:name="_Toc128149845"/>
      <w:bookmarkStart w:id="14" w:name="_Toc128149846"/>
      <w:bookmarkStart w:id="15" w:name="_Toc128147352"/>
      <w:bookmarkStart w:id="16" w:name="_Toc132398711"/>
      <w:bookmarkStart w:id="17" w:name="_Toc127547643"/>
      <w:bookmarkStart w:id="18" w:name="_Toc128147495"/>
      <w:bookmarkStart w:id="19" w:name="_Toc128397374"/>
      <w:bookmarkStart w:id="20" w:name="_Toc130887375"/>
      <w:bookmarkStart w:id="21" w:name="_Toc128149622"/>
      <w:bookmarkStart w:id="22" w:name="_Toc130886521"/>
      <w:r>
        <w:rPr>
          <w:rFonts w:hint="eastAsia" w:ascii="黑体" w:hAnsi="黑体" w:eastAsia="黑体" w:cs="黑体"/>
          <w:b w:val="0"/>
          <w:color w:val="auto"/>
          <w:sz w:val="28"/>
          <w:szCs w:val="28"/>
          <w:highlight w:val="none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（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商务条款均为实质性条款，不接受负偏离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）</w:t>
      </w:r>
    </w:p>
    <w:tbl>
      <w:tblPr>
        <w:tblStyle w:val="4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1509"/>
        <w:gridCol w:w="5104"/>
        <w:gridCol w:w="13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2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eastAsia="黑体"/>
                <w:sz w:val="20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合同签订后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12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个月内交付，交付地点由甲方指定。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2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sz w:val="20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签订合同付（预付）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3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0%，服务完成验收后付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70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%。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  <w:jc w:val="center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2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2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保修年限不低于1年，全年故障停机时间不高于5%（按365日/年计算)。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2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2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提供工程维修服务。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2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维修响应时间≤24h，维修到达现场时间≤72h。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8</w:t>
            </w: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知识产权</w:t>
            </w:r>
          </w:p>
        </w:tc>
        <w:tc>
          <w:tcPr>
            <w:tcW w:w="5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9</w:t>
            </w: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本项目服务所含配套物资有编目编码、打码贴签要求的，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  <w:t>报价供应商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应当予以明确响应，相关费用包含在报价中。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pStyle w:val="6"/>
        <w:spacing w:line="560" w:lineRule="exact"/>
        <w:ind w:firstLine="560"/>
        <w:rPr>
          <w:rFonts w:hAnsi="宋体"/>
          <w:color w:val="auto"/>
          <w:sz w:val="28"/>
          <w:szCs w:val="28"/>
          <w:highlight w:val="none"/>
          <w:lang w:val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560" w:firstLineChars="200"/>
        <w:textAlignment w:val="auto"/>
        <w:rPr>
          <w:rStyle w:val="8"/>
          <w:rFonts w:hint="eastAsia" w:ascii="宋体" w:hAnsi="宋体"/>
          <w:sz w:val="28"/>
          <w:szCs w:val="28"/>
          <w:highlight w:val="none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200"/>
        <w:textAlignment w:val="auto"/>
        <w:rPr>
          <w:rStyle w:val="8"/>
          <w:rFonts w:hint="default" w:ascii="宋体" w:hAnsi="宋体"/>
          <w:sz w:val="28"/>
          <w:szCs w:val="28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 w:val="0"/>
          <w:color w:val="auto"/>
          <w:sz w:val="28"/>
          <w:szCs w:val="28"/>
          <w:highlight w:val="none"/>
        </w:rPr>
        <w:br w:type="page"/>
      </w:r>
    </w:p>
    <w:p>
      <w:pPr>
        <w:pStyle w:val="3"/>
        <w:numPr>
          <w:ilvl w:val="0"/>
          <w:numId w:val="1"/>
        </w:numPr>
        <w:spacing w:before="0" w:after="0" w:line="560" w:lineRule="exact"/>
        <w:ind w:firstLine="560"/>
        <w:rPr>
          <w:rFonts w:hint="eastAsia" w:ascii="黑体" w:hAnsi="黑体" w:eastAsia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 w:val="0"/>
          <w:color w:val="auto"/>
          <w:sz w:val="28"/>
          <w:szCs w:val="28"/>
          <w:highlight w:val="none"/>
        </w:rPr>
        <w:t>技术要求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>
      <w:pPr>
        <w:overflowPunct w:val="0"/>
        <w:spacing w:line="240" w:lineRule="atLeast"/>
        <w:jc w:val="center"/>
        <w:rPr>
          <w:rFonts w:hint="eastAsia" w:ascii="黑体" w:hAnsi="黑体" w:eastAsia="黑体" w:cs="方正小标宋简体"/>
          <w:kern w:val="0"/>
          <w:sz w:val="28"/>
          <w:szCs w:val="28"/>
        </w:rPr>
      </w:pPr>
      <w:r>
        <w:rPr>
          <w:rFonts w:hint="eastAsia" w:ascii="黑体" w:hAnsi="黑体" w:eastAsia="黑体" w:cs="方正小标宋简体"/>
          <w:kern w:val="0"/>
          <w:sz w:val="44"/>
          <w:szCs w:val="44"/>
        </w:rPr>
        <w:t>采购需求表（服务类）</w:t>
      </w:r>
    </w:p>
    <w:tbl>
      <w:tblPr>
        <w:tblStyle w:val="4"/>
        <w:tblW w:w="87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661"/>
        <w:gridCol w:w="639"/>
        <w:gridCol w:w="709"/>
        <w:gridCol w:w="1262"/>
        <w:gridCol w:w="2115"/>
        <w:gridCol w:w="1017"/>
        <w:gridCol w:w="709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编号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2024-JQ06-F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3078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便携式智能移动生命支持系统技术研究和原理样机研制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220.0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7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具备机械通气、辅助呼吸支持、生命体征监护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（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心电监护、无创血压、血氧饱和度、呼气末二氧化碳分压、体温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）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、电除颤功能，可外挂微量泵及负压吸引功能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设备质量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主机（含内置电池）：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≤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22kg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外形体积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hAnsi="Times New Roman"/>
                <w:color w:val="auto"/>
                <w:sz w:val="20"/>
                <w:szCs w:val="20"/>
                <w:lang w:bidi="ar"/>
              </w:rPr>
            </w:pPr>
            <w:r>
              <w:rPr>
                <w:sz w:val="20"/>
                <w:lang w:bidi="ar"/>
              </w:rPr>
              <w:t>≤</w:t>
            </w:r>
            <w:r>
              <w:rPr>
                <w:rFonts w:hint="default" w:hAnsi="Times New Roman"/>
                <w:sz w:val="20"/>
                <w:lang w:bidi="ar"/>
              </w:rPr>
              <w:t>1020mm×140mm×</w:t>
            </w:r>
            <w:r>
              <w:rPr>
                <w:rFonts w:hAnsi="Times New Roman"/>
                <w:sz w:val="20"/>
                <w:lang w:bidi="ar"/>
              </w:rPr>
              <w:t>2</w:t>
            </w:r>
            <w:r>
              <w:rPr>
                <w:rFonts w:hint="default" w:hAnsi="Times New Roman"/>
                <w:sz w:val="20"/>
                <w:lang w:bidi="ar"/>
              </w:rPr>
              <w:t>30mm（主机）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展收时间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sz w:val="20"/>
                <w:lang w:bidi="ar"/>
              </w:rPr>
            </w:pPr>
            <w:r>
              <w:rPr>
                <w:sz w:val="20"/>
                <w:lang w:bidi="ar"/>
              </w:rPr>
              <w:t>≤</w:t>
            </w:r>
            <w:r>
              <w:rPr>
                <w:rFonts w:hint="default" w:hAnsi="Times New Roman"/>
                <w:sz w:val="20"/>
                <w:lang w:bidi="ar"/>
              </w:rPr>
              <w:t>5min</w:t>
            </w:r>
            <w:r>
              <w:rPr>
                <w:rFonts w:hAnsi="Times New Roman"/>
                <w:sz w:val="20"/>
                <w:lang w:bidi="ar"/>
              </w:rPr>
              <w:t>（标准工作环境，不包含外挂设备的展开）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防护等级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sz w:val="20"/>
                <w:lang w:bidi="ar"/>
              </w:rPr>
            </w:pPr>
            <w:r>
              <w:rPr>
                <w:rFonts w:hint="default" w:hAnsi="Times New Roman"/>
                <w:sz w:val="20"/>
                <w:lang w:bidi="ar"/>
              </w:rPr>
              <w:t>IP</w:t>
            </w:r>
            <w:r>
              <w:rPr>
                <w:rFonts w:hAnsi="Times New Roman"/>
                <w:sz w:val="20"/>
                <w:lang w:bidi="ar"/>
              </w:rPr>
              <w:t>33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屏幕尺寸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hAnsi="Times New Roman"/>
                <w:sz w:val="20"/>
                <w:lang w:bidi="ar"/>
              </w:rPr>
            </w:pPr>
            <w:r>
              <w:rPr>
                <w:sz w:val="20"/>
                <w:lang w:bidi="ar"/>
              </w:rPr>
              <w:t>≥</w:t>
            </w:r>
            <w:r>
              <w:rPr>
                <w:rFonts w:hint="default" w:hAnsi="Times New Roman"/>
                <w:sz w:val="20"/>
                <w:lang w:bidi="ar"/>
              </w:rPr>
              <w:t>10英寸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电源</w:t>
            </w:r>
            <w:r>
              <w:rPr>
                <w:rFonts w:hint="eastAsia" w:eastAsia="黑体"/>
                <w:kern w:val="0"/>
                <w:sz w:val="20"/>
                <w:lang w:bidi="ar"/>
              </w:rPr>
              <w:t>要求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sz w:val="20"/>
                <w:lang w:bidi="ar"/>
              </w:rPr>
            </w:pPr>
            <w:r>
              <w:rPr>
                <w:rFonts w:hint="default" w:hAnsi="Times New Roman"/>
                <w:sz w:val="20"/>
                <w:lang w:bidi="ar"/>
              </w:rPr>
              <w:t>交流电(110</w:t>
            </w:r>
            <w:r>
              <w:rPr>
                <w:sz w:val="20"/>
                <w:lang w:bidi="ar"/>
              </w:rPr>
              <w:t>～</w:t>
            </w:r>
            <w:r>
              <w:rPr>
                <w:rFonts w:hint="default" w:hAnsi="Times New Roman"/>
                <w:sz w:val="20"/>
                <w:lang w:bidi="ar"/>
              </w:rPr>
              <w:t>240)V，50/60HZ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电池要求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hAnsi="Times New Roman"/>
                <w:sz w:val="20"/>
                <w:lang w:bidi="ar"/>
              </w:rPr>
            </w:pPr>
            <w:r>
              <w:rPr>
                <w:rFonts w:hint="default" w:hAnsi="Times New Roman"/>
                <w:sz w:val="20"/>
                <w:lang w:bidi="ar"/>
              </w:rPr>
              <w:t>每组电池供电6</w:t>
            </w:r>
            <w:r>
              <w:rPr>
                <w:rFonts w:hAnsi="Times New Roman"/>
                <w:sz w:val="20"/>
                <w:lang w:bidi="ar"/>
              </w:rPr>
              <w:t>h</w:t>
            </w:r>
            <w:r>
              <w:rPr>
                <w:rFonts w:hint="default" w:hAnsi="Times New Roman"/>
                <w:sz w:val="20"/>
                <w:lang w:bidi="ar"/>
              </w:rPr>
              <w:t>（标准工作状况）；充电时间：3</w:t>
            </w:r>
            <w:r>
              <w:rPr>
                <w:rFonts w:hAnsi="Times New Roman"/>
                <w:sz w:val="20"/>
                <w:lang w:bidi="ar"/>
              </w:rPr>
              <w:t>h</w:t>
            </w:r>
            <w:r>
              <w:rPr>
                <w:rFonts w:hint="default" w:hAnsi="Times New Roman"/>
                <w:sz w:val="20"/>
                <w:lang w:bidi="ar"/>
              </w:rPr>
              <w:t>，支持电池热拔插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通气模式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容量控制通气模式、压力控制通气模式、同步间歇指令通气模式、持续气道正压模式、双水平气道正压通气模式、压力支持通气模式、自主呼吸及无创呼吸模式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潮气量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ascii="黑体" w:hAnsi="黑体" w:eastAsia="黑体"/>
                <w:sz w:val="20"/>
                <w:lang w:bidi="ar"/>
              </w:rPr>
              <w:t>(</w:t>
            </w:r>
            <w:r>
              <w:rPr>
                <w:rFonts w:ascii="黑体" w:hAnsi="黑体" w:eastAsia="黑体"/>
                <w:kern w:val="0"/>
                <w:sz w:val="20"/>
                <w:lang w:bidi="ar"/>
              </w:rPr>
              <w:t>100～2000</w:t>
            </w:r>
            <w:r>
              <w:rPr>
                <w:rFonts w:ascii="黑体" w:hAnsi="黑体" w:eastAsia="黑体"/>
                <w:sz w:val="20"/>
                <w:lang w:bidi="ar"/>
              </w:rPr>
              <w:t>)</w:t>
            </w:r>
            <w:r>
              <w:rPr>
                <w:rFonts w:ascii="黑体" w:hAnsi="黑体" w:eastAsia="黑体"/>
                <w:kern w:val="0"/>
                <w:sz w:val="20"/>
                <w:lang w:bidi="ar"/>
              </w:rPr>
              <w:t>m</w:t>
            </w:r>
            <w:r>
              <w:rPr>
                <w:rFonts w:hint="eastAsia" w:ascii="黑体" w:hAnsi="黑体" w:eastAsia="黑体"/>
                <w:kern w:val="0"/>
                <w:sz w:val="20"/>
                <w:lang w:bidi="ar"/>
              </w:rPr>
              <w:t>L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，最大误差≤15%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最大峰值流量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≥6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0 L/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m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in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通气频率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sz w:val="20"/>
                <w:lang w:bidi="ar"/>
              </w:rPr>
              <w:t>(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1～120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)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次/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分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，最大误差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≤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10%或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≤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±1次/分（取绝对值大者）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吸入氧浓度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21%～100%，最大误差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≤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5%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呼气末正压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（0～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4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0）cmH</w:t>
            </w:r>
            <w:r>
              <w:rPr>
                <w:rFonts w:ascii="黑体" w:eastAsia="黑体"/>
                <w:kern w:val="0"/>
                <w:sz w:val="20"/>
                <w:vertAlign w:val="subscript"/>
                <w:lang w:bidi="ar"/>
              </w:rPr>
              <w:t>2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O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压力支持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（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5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～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60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）cmH</w:t>
            </w:r>
            <w:r>
              <w:rPr>
                <w:rFonts w:ascii="黑体" w:eastAsia="黑体"/>
                <w:kern w:val="0"/>
                <w:sz w:val="20"/>
                <w:vertAlign w:val="subscript"/>
                <w:lang w:bidi="ar"/>
              </w:rPr>
              <w:t>2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O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吸气触发灵敏度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（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0.5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～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20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）L/min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呼出端流量传感器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采用压差式流量传感器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氧气回收模块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将呼出的氧气被重新吸入，保障在无外置氧源的条件下，通过低流量的内置制氧来维持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适宜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的氧浓度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（最大吸入氧浓度不小于40%）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特殊模式或功能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窒息通气、增氧、手动通气、叹息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等功能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呼吸模式自动调节模块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基于血氧饱和度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、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血压、呼气末二氧化碳分压等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的监测信息，实时调节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吸入氧浓度、呼气末正压、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潮气量及频率支持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驱动形式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涡轮型电动电控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呼吸机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心电监护技术指标1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心电监护模块支持3/5导心电监测，可选配12导联心电监测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bookmarkStart w:id="23" w:name="OLE_LINK1"/>
            <w:r>
              <w:rPr>
                <w:rFonts w:hint="eastAsia" w:ascii="黑体" w:eastAsia="黑体"/>
                <w:kern w:val="0"/>
                <w:sz w:val="20"/>
                <w:lang w:bidi="ar"/>
              </w:rPr>
              <w:t>心电监护技术指标2</w:t>
            </w:r>
            <w:bookmarkEnd w:id="23"/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0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心率范围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：（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20～250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）次/分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，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支持房颤及室上性心律失常分析功能，如：室上性心动过速，PVCs/min等，标配支持≥20种实时心律失常分析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心电监护技术指标3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支持≥4通道心电波形同步分析，可进行多导心电分析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心电监护技术指标4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提供ST段分析功能，支持提示心脏前壁，下壁和侧壁心梗发生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心电监护技术指标5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支持RR呼吸率测量，测量范围：（5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～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120）次/分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心电监护技术指标6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具备导联脱落报警、抗除颤及电刀干扰等能力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无创血压技术指标1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无创血压提供手动、自动间隔、连续、序列、整点五种测量模式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无创血压技术指标2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收缩压测量范围：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（</w:t>
            </w:r>
            <w:r>
              <w:rPr>
                <w:rFonts w:ascii="黑体" w:hAnsi="黑体" w:eastAsia="黑体"/>
                <w:kern w:val="0"/>
                <w:sz w:val="20"/>
                <w:lang w:bidi="ar"/>
              </w:rPr>
              <w:t>40～250</w:t>
            </w:r>
            <w:r>
              <w:rPr>
                <w:rFonts w:hint="eastAsia" w:ascii="黑体" w:hAnsi="黑体" w:eastAsia="黑体"/>
                <w:kern w:val="0"/>
                <w:sz w:val="20"/>
                <w:lang w:bidi="ar"/>
              </w:rPr>
              <w:t>）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mmH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g，舒张压测量范围：（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20～195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）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mmHg，平均压测量范围：（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26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～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215）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mmHg。最大平均允差和最大标准偏差满足YY9706.230-2023要求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体温监测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2路（含）以上体温，测量范围</w:t>
            </w:r>
            <w:bookmarkStart w:id="24" w:name="OLE_LINK3"/>
            <w:r>
              <w:rPr>
                <w:rFonts w:hint="eastAsia" w:ascii="黑体" w:eastAsia="黑体"/>
                <w:kern w:val="0"/>
                <w:sz w:val="20"/>
                <w:lang w:bidi="ar"/>
              </w:rPr>
              <w:t>≥</w:t>
            </w:r>
            <w:bookmarkEnd w:id="24"/>
            <w:r>
              <w:rPr>
                <w:rFonts w:hint="eastAsia" w:ascii="黑体" w:eastAsia="黑体"/>
                <w:kern w:val="0"/>
                <w:sz w:val="20"/>
                <w:lang w:bidi="ar"/>
              </w:rPr>
              <w:t>（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0～50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）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℃，测量精度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≤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0.2℃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血氧饱和度监测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血氧饱和度监测范围：70%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～100%，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误差≤3%。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脉率范围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：（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20～250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）次/分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呼气末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二氧化碳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分压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监测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支持升级主流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呼气末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二氧化碳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监测模块。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范围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：（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0～150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）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mmHg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除颤能量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设定的释放能量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≤200J，至少十档可调节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除颤方式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除颤方式为手动除颤模式及AED模式，除颤波形应为双向波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除颤能量待机时间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充电后，无人为放电时，30s后自动解除；充电时间：充电至200J，不超过7s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连续充放电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以3次/分的速率对50</w:t>
            </w:r>
            <w:r>
              <w:rPr>
                <w:rFonts w:hint="eastAsia" w:ascii="黑体" w:hAnsi="黑体" w:eastAsia="黑体"/>
                <w:kern w:val="0"/>
                <w:sz w:val="20"/>
                <w:lang w:bidi="ar"/>
              </w:rPr>
              <w:t>Ω阻性负载按200J能量交替充放电15次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自供氧源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浓度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bookmarkStart w:id="25" w:name="OLE_LINK2"/>
            <w:r>
              <w:rPr>
                <w:rFonts w:hint="eastAsia" w:ascii="黑体" w:eastAsia="黑体"/>
                <w:kern w:val="0"/>
                <w:sz w:val="20"/>
                <w:lang w:bidi="ar"/>
              </w:rPr>
              <w:t>≥</w:t>
            </w:r>
            <w:bookmarkEnd w:id="25"/>
            <w:r>
              <w:rPr>
                <w:rFonts w:ascii="黑体" w:eastAsia="黑体"/>
                <w:kern w:val="0"/>
                <w:sz w:val="20"/>
                <w:lang w:bidi="ar"/>
              </w:rPr>
              <w:t>85%氧气浓度（标准工作状况）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自供氧源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流量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≥1L/min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自供氧源持续时间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≥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6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h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（标准工作状况）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伤情预警模块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结合呼吸频率、血氧饱和度、血压、脉搏、体温、心电监护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，以及医护人员输入的伤者基础伤情信息，给出危重伤员伤情早期预警。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外接数据接口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USB数据接口（≥2个）、RJ45网络接口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数据传输指标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支持一体机数据Excel导出功能：将一体机的原始数据传输到PC电脑上，通过数据导出的可视化软件，导出各种监护数据到Excel表格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自然环境适应性指标1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作业环境温度：（5～40）℃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自然环境适应性指标2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储存极限温度：-40℃，60℃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bookmarkStart w:id="26" w:name="OLE_LINK4"/>
            <w:r>
              <w:rPr>
                <w:rFonts w:hint="eastAsia" w:ascii="黑体" w:eastAsia="黑体"/>
                <w:kern w:val="0"/>
                <w:sz w:val="20"/>
                <w:lang w:bidi="ar"/>
              </w:rPr>
              <w:t>自然环境适应性指标3</w:t>
            </w:r>
            <w:bookmarkEnd w:id="26"/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相对湿度耐受能力：95%（25℃）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自然环境适应性指标4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val="zh-CN"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抗风压能力：能在风速9.4m/s（相当于5级风力）条件下展开、收拢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自然环境适应性指标5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val="zh-CN"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抗淋雨能力：能耐受降雨强度2mm/min、持续时间1h的淋雨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自然环境适应性指标6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val="zh-CN"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抗盐雾腐蚀能力：符合GJB 150.11A-2009有关规定的要求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自然环境适应性指标7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val="zh-CN"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抗霉菌能力：符合GJB 150.10A-2009有关规定的要求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bookmarkStart w:id="27" w:name="OLE_LINK5"/>
            <w:r>
              <w:rPr>
                <w:rFonts w:hint="eastAsia" w:ascii="黑体" w:eastAsia="黑体"/>
                <w:kern w:val="0"/>
                <w:sz w:val="20"/>
                <w:lang w:bidi="ar"/>
              </w:rPr>
              <w:t>特殊环境适应性技术指标1</w:t>
            </w:r>
            <w:bookmarkEnd w:id="27"/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val="zh-CN"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抗冲击能力：满足GJB 150.18A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-2009</w:t>
            </w: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规定的运输跌落要求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bookmarkStart w:id="28" w:name="OLE_LINK6"/>
            <w:r>
              <w:rPr>
                <w:rFonts w:hint="eastAsia" w:ascii="黑体" w:eastAsia="黑体"/>
                <w:kern w:val="0"/>
                <w:sz w:val="20"/>
                <w:lang w:bidi="ar"/>
              </w:rPr>
              <w:t>特殊环境适应性技术指标2</w:t>
            </w:r>
            <w:bookmarkEnd w:id="28"/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val="zh-CN"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抗振动能力：满足GJB 150.16A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-2009</w:t>
            </w: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规定的振动要求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特殊环境适应性技术指标3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val="zh-CN"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电磁兼容性：符合GJB 151B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-2013</w:t>
            </w: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 xml:space="preserve"> RE102e)飞机测试项在直升机导航频率（150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～</w:t>
            </w: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180）kHz、通讯频率（100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～</w:t>
            </w: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150）MHz的要求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特殊环境适应性技术指标4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eastAsia="黑体"/>
                <w:kern w:val="0"/>
                <w:sz w:val="20"/>
                <w:lang w:val="zh-CN" w:bidi="ar"/>
              </w:rPr>
            </w:pPr>
            <w:r>
              <w:rPr>
                <w:rFonts w:hint="eastAsia" w:eastAsia="黑体"/>
                <w:kern w:val="0"/>
                <w:sz w:val="20"/>
                <w:lang w:val="zh-CN" w:bidi="ar"/>
              </w:rPr>
              <w:t>外观要求：外部颜色与标记应进行无反光处理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特殊环境适应性技术指标5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val="zh-CN"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高原适应性：应满足高原机械通气自适应调节，在海拔4500m下，呼吸潮气量≥1200mL，输出压力≥40cmH</w:t>
            </w:r>
            <w:r>
              <w:rPr>
                <w:rFonts w:hint="eastAsia" w:ascii="黑体" w:eastAsia="黑体"/>
                <w:kern w:val="0"/>
                <w:sz w:val="20"/>
                <w:vertAlign w:val="subscript"/>
                <w:lang w:val="zh-CN" w:bidi="ar"/>
              </w:rPr>
              <w:t>2</w:t>
            </w: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O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特殊环境适应性技术指标6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val="zh-CN"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运输性：能够满足公路、铁路、水路运输工具的限制性要求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特殊环境适应性技术指标7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val="zh-CN"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装卸搬运适应性：应符合GJB 1181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-1991</w:t>
            </w: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、GB/T 12330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-1990</w:t>
            </w: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等规定的要求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bookmarkStart w:id="29" w:name="OLE_LINK7"/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综合性要求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指标1</w:t>
            </w:r>
            <w:bookmarkEnd w:id="29"/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val="zh-CN"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标准化要求：应遵循GJB 1856A-2008的有关要求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综合性要求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指标2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val="zh-CN"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可靠性要求：平均故障间隔时间≥240h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综合性要求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指标3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val="zh-CN"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维修性要求：研制工作应遵循GJB 368B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-2022</w:t>
            </w: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有关要求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综合性要求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指标4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val="zh-CN"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安全性要求：应遵循GJB 900A-2012和GJB/Z 99-1997有关规定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综合性要求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指标5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val="zh-CN"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人机环境工程要求：应按照GJB 2873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-1997</w:t>
            </w: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的要求开展人机工程设计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综合性要求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指标6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val="zh-CN"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标志要求：标志设计及安装符合GJB 1626A-2009有关要求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综合性要求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指标7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val="zh-CN"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交付要求：原理样机1台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综合性要求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指标8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供应商具有高新技术企业认证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认证证书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val="zh-CN"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综合性要求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指标9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供应商项目研发团队有研究生学历至少30人，拥有100%全自主技术知识产权和技术研发力量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综合性要求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指标10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供应商承担过国家级重点研发攻关项目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项目任务书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val="zh-CN" w:bidi="ar"/>
              </w:rPr>
              <w:t>综合性要求</w:t>
            </w:r>
            <w:r>
              <w:rPr>
                <w:rFonts w:hint="eastAsia" w:ascii="黑体" w:eastAsia="黑体"/>
                <w:kern w:val="0"/>
                <w:sz w:val="20"/>
                <w:lang w:bidi="ar"/>
              </w:rPr>
              <w:t>指标11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kern w:val="0"/>
                <w:sz w:val="20"/>
                <w:lang w:bidi="ar"/>
              </w:rPr>
            </w:pPr>
            <w:r>
              <w:rPr>
                <w:rFonts w:hint="eastAsia" w:ascii="黑体" w:eastAsia="黑体"/>
                <w:kern w:val="0"/>
                <w:sz w:val="20"/>
                <w:lang w:bidi="ar"/>
              </w:rPr>
              <w:t>供应商拥有相关国内外授权发明专利100项以上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专利证书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2"/>
              </w:numPr>
              <w:spacing w:line="240" w:lineRule="exact"/>
              <w:ind w:left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lang w:val="zh-CN" w:bidi="ar"/>
              </w:rPr>
              <w:t>验收标准方法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/>
                <w:sz w:val="20"/>
              </w:rPr>
            </w:pPr>
            <w:r>
              <w:rPr>
                <w:rFonts w:ascii="黑体" w:eastAsia="黑体"/>
                <w:kern w:val="0"/>
                <w:sz w:val="20"/>
                <w:lang w:bidi="ar"/>
              </w:rPr>
              <w:t>按照</w:t>
            </w:r>
            <w:r>
              <w:rPr>
                <w:rFonts w:hint="eastAsia" w:ascii="黑体" w:eastAsia="黑体"/>
                <w:kern w:val="0"/>
                <w:sz w:val="20"/>
                <w:lang w:eastAsia="zh-CN" w:bidi="ar"/>
              </w:rPr>
              <w:t>报价</w:t>
            </w:r>
            <w:r>
              <w:rPr>
                <w:rFonts w:ascii="黑体" w:eastAsia="黑体"/>
                <w:kern w:val="0"/>
                <w:sz w:val="20"/>
                <w:lang w:bidi="ar"/>
              </w:rPr>
              <w:t>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b/>
                <w:b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6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▲标识的指标负偏离≥2项，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  <w:t>报价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黑体" w:hAnsi="黑体" w:eastAsia="黑体" w:cs="黑体"/>
                <w:kern w:val="0"/>
                <w:sz w:val="20"/>
                <w:highlight w:val="yellow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▲标识的指标和“无标识”指标负偏离≥2项，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  <w:t>报价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87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注：1.★指标为必须响应指标，任意一项不满足要求即做废标处理；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.★及▲标识的指标，无法明确的默认由企业提供承诺；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.经济要求不接受企业负偏离。</w:t>
            </w:r>
          </w:p>
        </w:tc>
      </w:tr>
    </w:tbl>
    <w:p>
      <w:pPr>
        <w:numPr>
          <w:ilvl w:val="0"/>
          <w:numId w:val="0"/>
        </w:numPr>
      </w:pPr>
    </w:p>
    <w:p>
      <w:bookmarkStart w:id="30" w:name="_GoBack"/>
      <w:bookmarkEnd w:id="3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E62EFF"/>
    <w:multiLevelType w:val="singleLevel"/>
    <w:tmpl w:val="85E62EF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AFC0E01"/>
    <w:multiLevelType w:val="multilevel"/>
    <w:tmpl w:val="0AFC0E01"/>
    <w:lvl w:ilvl="0" w:tentative="0">
      <w:start w:val="1"/>
      <w:numFmt w:val="decimal"/>
      <w:lvlText w:val="%1"/>
      <w:lvlJc w:val="left"/>
      <w:pPr>
        <w:ind w:left="440" w:hanging="440"/>
      </w:pPr>
      <w:rPr>
        <w:rFonts w:hint="eastAsia"/>
        <w:sz w:val="20"/>
        <w:szCs w:val="2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41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5" w:lineRule="auto"/>
      <w:ind w:firstLine="200" w:firstLineChars="200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ui-provid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2025-01-07T08:45:44Z</dcterms:created>
  <dc:creator>admin</dc:creator>
  <cp:lastModifiedBy>admin</cp:lastModifiedBy>
  <dcterms:modified xsi:type="dcterms:W3CDTF">2025-01-07T08:45:55Z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