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643" w:firstLineChars="200"/>
        <w:rPr>
          <w:rFonts w:hint="eastAsia"/>
          <w:highlight w:val="none"/>
          <w:lang w:val="en-US" w:eastAsia="zh-CN"/>
        </w:rPr>
      </w:pPr>
      <w:bookmarkStart w:id="0" w:name="_Toc14060"/>
      <w:bookmarkStart w:id="1" w:name="_Toc132186974"/>
      <w:bookmarkStart w:id="2" w:name="_Toc128470294"/>
      <w:bookmarkStart w:id="3" w:name="_Toc22977"/>
      <w:bookmarkStart w:id="4" w:name="_Toc22203"/>
      <w:bookmarkStart w:id="5" w:name="_Toc130888006"/>
      <w:bookmarkStart w:id="6" w:name="_Toc13168"/>
      <w:bookmarkStart w:id="7" w:name="_Toc112681847"/>
      <w:bookmarkStart w:id="8" w:name="_Toc132191258"/>
      <w:bookmarkStart w:id="9" w:name="_Toc32238"/>
      <w:bookmarkStart w:id="10" w:name="_Toc112768493"/>
      <w:bookmarkStart w:id="11" w:name="_Toc128154367"/>
      <w:bookmarkStart w:id="12" w:name="_Toc29008"/>
      <w:bookmarkStart w:id="13" w:name="_Toc285612596"/>
      <w:r>
        <w:rPr>
          <w:rFonts w:hint="eastAsia" w:ascii="Times New Roman" w:hAnsi="Times New Roman" w:cs="Times New Roman"/>
          <w:highlight w:val="none"/>
          <w:lang w:val="en-US" w:eastAsia="zh-CN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Times New Roman" w:hAnsi="Times New Roman" w:cs="Times New Roman"/>
          <w:highlight w:val="none"/>
          <w:lang w:val="en-US" w:eastAsia="zh-CN"/>
        </w:rPr>
        <w:t>（</w:t>
      </w:r>
      <w:r>
        <w:rPr>
          <w:rFonts w:hint="eastAsia"/>
          <w:highlight w:val="none"/>
          <w:lang w:val="en-US" w:eastAsia="zh-CN"/>
        </w:rPr>
        <w:t>均为实质性响应条款，不接受负偏离）</w:t>
      </w:r>
      <w:bookmarkEnd w:id="12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075"/>
        <w:gridCol w:w="5610"/>
        <w:gridCol w:w="95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6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bookmarkEnd w:id="13"/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14" w:name="_Toc1765"/>
      <w:bookmarkStart w:id="15" w:name="_Toc132191259"/>
      <w:bookmarkStart w:id="16" w:name="_Toc128470295"/>
      <w:bookmarkStart w:id="17" w:name="_Toc128154368"/>
      <w:bookmarkStart w:id="18" w:name="_Toc130888007"/>
      <w:bookmarkStart w:id="19" w:name="_Toc132186975"/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4"/>
      <w:bookmarkEnd w:id="15"/>
      <w:bookmarkEnd w:id="16"/>
      <w:bookmarkEnd w:id="17"/>
      <w:bookmarkEnd w:id="18"/>
      <w:bookmarkEnd w:id="19"/>
    </w:p>
    <w:tbl>
      <w:tblPr>
        <w:tblStyle w:val="4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1"/>
        <w:gridCol w:w="948"/>
        <w:gridCol w:w="582"/>
        <w:gridCol w:w="1691"/>
        <w:gridCol w:w="2002"/>
        <w:gridCol w:w="1476"/>
        <w:gridCol w:w="388"/>
        <w:gridCol w:w="9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00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2024-JQ06-W3531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医用雾化器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59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85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用于辅助治疗上下呼吸系统疾病，将药液雾化成微小颗粒，通过呼吸吸入的方式进入呼吸道和肺部沉积。从而达到无痛，迅速有效治疗的目的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5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5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产生原理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振动筛网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60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筛网密度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筛网≥1000个小孔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25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筛网规格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筛网采用钯金属，网筛直径≥5mm，网孔直径≤5μm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60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雾化颗粒范围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小于5um的微粒占比≥70% （1-5um）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配合使用范围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可与有创呼吸机、无创呼吸机、高流量氧疗设备连接使用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药物吸收率（雾化药物）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自主呼吸病人肺内沉降率≥30%，并提供相关证明文件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配套雾化喷雾装置可耐134°C蒸汽灭菌消毒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药物肺内沉积率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经有创呼吸机雾化患者肺内沉积率≥15%，并提供相关证明文件。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雾化药物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可对溶液、悬浮液进行雾化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医用雾化器9台（控制器9台，雾化装置9个，雾化杯9个）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42" w:hRule="atLeast"/>
        </w:trPr>
        <w:tc>
          <w:tcPr>
            <w:tcW w:w="1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26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42" w:hRule="atLeast"/>
        </w:trPr>
        <w:tc>
          <w:tcPr>
            <w:tcW w:w="1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08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2.★及▲标识的指标，无法明确的默认由企业提供承诺。</w:t>
            </w:r>
          </w:p>
        </w:tc>
      </w:tr>
    </w:tbl>
    <w:p>
      <w:pPr>
        <w:rPr>
          <w:rFonts w:hint="eastAsia"/>
        </w:r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2334"/>
        <w:gridCol w:w="1284"/>
        <w:gridCol w:w="1265"/>
        <w:gridCol w:w="854"/>
        <w:gridCol w:w="854"/>
        <w:gridCol w:w="87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医用雾化器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雾化装置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年用量为开展业务所需耗材（开展项目）的测算量；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rPr>
          <w:rFonts w:hint="eastAsia"/>
        </w:rPr>
      </w:pPr>
    </w:p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F32"/>
    <w:multiLevelType w:val="singleLevel"/>
    <w:tmpl w:val="03976F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D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2024-12-30T06:59:53Z</dcterms:created>
  <dc:creator>admin</dc:creator>
  <cp:lastModifiedBy>admin</cp:lastModifiedBy>
  <dcterms:modified xsi:type="dcterms:W3CDTF">2024-12-30T07:00:44Z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