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965" w:type="dxa"/>
        <w:jc w:val="center"/>
        <w:tblInd w:w="-100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08"/>
        <w:gridCol w:w="333"/>
        <w:gridCol w:w="750"/>
        <w:gridCol w:w="434"/>
        <w:gridCol w:w="1333"/>
        <w:gridCol w:w="783"/>
        <w:gridCol w:w="3834"/>
        <w:gridCol w:w="816"/>
        <w:gridCol w:w="250"/>
        <w:gridCol w:w="184"/>
        <w:gridCol w:w="8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965" w:type="dxa"/>
            <w:gridSpan w:val="11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采购需求表（服务类）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7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  <w:t>编号</w:t>
            </w:r>
          </w:p>
        </w:tc>
        <w:tc>
          <w:tcPr>
            <w:tcW w:w="25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2024-JQ06-5080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名称</w:t>
            </w:r>
          </w:p>
        </w:tc>
        <w:tc>
          <w:tcPr>
            <w:tcW w:w="3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富士内镜保修</w:t>
            </w:r>
          </w:p>
        </w:tc>
        <w:tc>
          <w:tcPr>
            <w:tcW w:w="10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0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0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性质</w:t>
            </w:r>
          </w:p>
        </w:tc>
        <w:tc>
          <w:tcPr>
            <w:tcW w:w="676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4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量化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96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76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经维修、保养后的设备，能够正常开机运转，满足临床科室诊疗工作进行。供应商应为原厂或其授权供应商。</w:t>
            </w:r>
          </w:p>
        </w:tc>
        <w:tc>
          <w:tcPr>
            <w:tcW w:w="4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676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13"/>
                <w:rFonts w:hint="eastAsia" w:asciiTheme="minorEastAsia" w:hAnsiTheme="minorEastAsia" w:eastAsiaTheme="minorEastAsia" w:cstheme="minorEastAsia"/>
                <w:i w:val="0"/>
                <w:iCs w:val="0"/>
                <w:sz w:val="20"/>
                <w:szCs w:val="20"/>
                <w:lang w:val="en-US" w:eastAsia="zh-CN" w:bidi="ar"/>
              </w:rPr>
              <w:t>质量管理体系ISO13485认证，环境管理体系ISO4001认证</w:t>
            </w:r>
            <w:r>
              <w:rPr>
                <w:rStyle w:val="14"/>
                <w:rFonts w:hint="eastAsia" w:asciiTheme="minorEastAsia" w:hAnsiTheme="minorEastAsia" w:eastAsiaTheme="minorEastAsia" w:cstheme="minorEastAsia"/>
                <w:i w:val="0"/>
                <w:iCs w:val="0"/>
                <w:sz w:val="20"/>
                <w:szCs w:val="20"/>
                <w:lang w:val="en-US" w:eastAsia="zh-CN" w:bidi="ar"/>
              </w:rPr>
              <w:t xml:space="preserve"> </w:t>
            </w:r>
          </w:p>
        </w:tc>
        <w:tc>
          <w:tcPr>
            <w:tcW w:w="4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影印件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76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13"/>
                <w:rFonts w:hint="eastAsia" w:asciiTheme="minorEastAsia" w:hAnsiTheme="minorEastAsia" w:eastAsiaTheme="minorEastAsia" w:cstheme="minorEastAsia"/>
                <w:i w:val="0"/>
                <w:iCs w:val="0"/>
                <w:sz w:val="20"/>
                <w:szCs w:val="20"/>
                <w:lang w:val="en-US" w:eastAsia="zh-CN" w:bidi="ar"/>
              </w:rPr>
              <w:t>本次参保设备包含本单位37件富士超声设备(参保范围包含主机，光源，软式内镜，原厂周边设备）零备件的维修。易耗品（光源灯泡，超声小探头等）不在此范围内</w:t>
            </w:r>
          </w:p>
        </w:tc>
        <w:tc>
          <w:tcPr>
            <w:tcW w:w="4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技术指标2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676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13"/>
                <w:rFonts w:hint="eastAsia" w:asciiTheme="minorEastAsia" w:hAnsiTheme="minorEastAsia" w:eastAsiaTheme="minorEastAsia" w:cstheme="minorEastAsia"/>
                <w:i w:val="0"/>
                <w:iCs w:val="0"/>
                <w:sz w:val="20"/>
                <w:szCs w:val="20"/>
                <w:lang w:val="en-US" w:eastAsia="zh-CN" w:bidi="ar"/>
              </w:rPr>
              <w:t xml:space="preserve">使用培训满足主要操作医护人员熟练操作和洗消设备。 </w:t>
            </w:r>
          </w:p>
        </w:tc>
        <w:tc>
          <w:tcPr>
            <w:tcW w:w="4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技术指标3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676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每年提供1-2次工程师培训，满足我院工程师自行基础保养和基本故障判断。</w:t>
            </w:r>
          </w:p>
        </w:tc>
        <w:tc>
          <w:tcPr>
            <w:tcW w:w="4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技术指标4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676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每年至少提供4次保养服务,每年向医院提供上述服务的记录单据</w:t>
            </w:r>
          </w:p>
        </w:tc>
        <w:tc>
          <w:tcPr>
            <w:tcW w:w="4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技术指标5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676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提供软件维护和更新</w:t>
            </w:r>
          </w:p>
        </w:tc>
        <w:tc>
          <w:tcPr>
            <w:tcW w:w="4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技术指标6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676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自保修合同生效起，为用户提供一年保修服务，包括人工和零件。</w:t>
            </w:r>
          </w:p>
        </w:tc>
        <w:tc>
          <w:tcPr>
            <w:tcW w:w="4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技术指标7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676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定期到医院进行设备的全面维修和检测保养。</w:t>
            </w:r>
          </w:p>
        </w:tc>
        <w:tc>
          <w:tcPr>
            <w:tcW w:w="4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技术指标8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676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13"/>
                <w:rFonts w:hint="eastAsia" w:asciiTheme="minorEastAsia" w:hAnsiTheme="minorEastAsia" w:eastAsiaTheme="minorEastAsia" w:cstheme="minorEastAsia"/>
                <w:i w:val="0"/>
                <w:iCs w:val="0"/>
                <w:sz w:val="20"/>
                <w:szCs w:val="20"/>
                <w:lang w:val="en-US" w:eastAsia="zh-CN" w:bidi="ar"/>
              </w:rPr>
              <w:t>提供即时服务响应，医院拨打维修热线之后，在2小时内提供电话技术支持，答疑。若故障在电话指导下仍不能解决，人员将在工作日24小时内到达用户现场，进行故障判定，视情况送修并提供备品。</w:t>
            </w:r>
          </w:p>
        </w:tc>
        <w:tc>
          <w:tcPr>
            <w:tcW w:w="4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0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技术指标9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676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在本地区配置专职技术团队至少3人，可以满足远程技术支持。</w:t>
            </w:r>
          </w:p>
        </w:tc>
        <w:tc>
          <w:tcPr>
            <w:tcW w:w="4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0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技术指标10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76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维修中如果需要更换硬件，必须提供原厂经经检验合格的零备件，确保维修品质，不会给设备带来潜在风险。所有零备件为原厂制造的标准全新备件。</w:t>
            </w:r>
          </w:p>
        </w:tc>
        <w:tc>
          <w:tcPr>
            <w:tcW w:w="4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0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15"/>
                <w:rFonts w:hint="eastAsia" w:asciiTheme="minorEastAsia" w:hAnsiTheme="minorEastAsia" w:eastAsiaTheme="minorEastAsia" w:cstheme="minorEastAsia"/>
                <w:i w:val="0"/>
                <w:iCs w:val="0"/>
                <w:sz w:val="20"/>
                <w:szCs w:val="20"/>
                <w:lang w:val="en-US" w:eastAsia="zh-CN" w:bidi="ar"/>
              </w:rPr>
              <w:t>技术指标11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76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在合同期内，对于非人为原因造成的设备故障及损坏，免费提供无限次紧急维修服务，节假日照常服务。</w:t>
            </w:r>
          </w:p>
        </w:tc>
        <w:tc>
          <w:tcPr>
            <w:tcW w:w="4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0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15"/>
                <w:rFonts w:hint="eastAsia" w:asciiTheme="minorEastAsia" w:hAnsiTheme="minorEastAsia" w:eastAsiaTheme="minorEastAsia" w:cstheme="minorEastAsia"/>
                <w:i w:val="0"/>
                <w:iCs w:val="0"/>
                <w:sz w:val="20"/>
                <w:szCs w:val="20"/>
                <w:lang w:val="en-US" w:eastAsia="zh-CN" w:bidi="ar"/>
              </w:rPr>
              <w:t>技术指标12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76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供应商必需在国内设有专业的设备零备件仓库和维修场地，可满足紧急维修时的零件供应和维修时效。</w:t>
            </w:r>
          </w:p>
        </w:tc>
        <w:tc>
          <w:tcPr>
            <w:tcW w:w="4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0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15"/>
                <w:rFonts w:hint="eastAsia" w:asciiTheme="minorEastAsia" w:hAnsiTheme="minorEastAsia" w:eastAsiaTheme="minorEastAsia" w:cstheme="minorEastAsia"/>
                <w:i w:val="0"/>
                <w:iCs w:val="0"/>
                <w:sz w:val="20"/>
                <w:szCs w:val="20"/>
                <w:lang w:val="en-US" w:eastAsia="zh-CN" w:bidi="ar"/>
              </w:rPr>
              <w:t>技术指标13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676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15"/>
                <w:rFonts w:hint="eastAsia" w:asciiTheme="minorEastAsia" w:hAnsiTheme="minorEastAsia" w:eastAsiaTheme="minorEastAsia" w:cstheme="minorEastAsia"/>
                <w:i w:val="0"/>
                <w:iCs w:val="0"/>
                <w:sz w:val="20"/>
                <w:szCs w:val="20"/>
                <w:lang w:val="en-US" w:eastAsia="zh-CN" w:bidi="ar"/>
              </w:rPr>
              <w:t>在北京地区设置3名常驻现场服务工程师，可满足售后服务。具备</w:t>
            </w:r>
            <w:r>
              <w:rPr>
                <w:rStyle w:val="13"/>
                <w:rFonts w:hint="eastAsia" w:asciiTheme="minorEastAsia" w:hAnsiTheme="minorEastAsia" w:eastAsiaTheme="minorEastAsia" w:cstheme="minorEastAsia"/>
                <w:i w:val="0"/>
                <w:iCs w:val="0"/>
                <w:sz w:val="20"/>
                <w:szCs w:val="20"/>
                <w:lang w:val="en-US" w:eastAsia="zh-CN" w:bidi="ar"/>
              </w:rPr>
              <w:t>医疗设备服务资质认证证明。</w:t>
            </w:r>
          </w:p>
        </w:tc>
        <w:tc>
          <w:tcPr>
            <w:tcW w:w="4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0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验收标准方法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76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按照投标文件、采购合同、质量标准等，组织对医疗设备进行质量验收，出具验收报告。验收过程中对于核心参数存疑需检测的，可委托地方具有相应检测能力的机构提供技术支持。</w:t>
            </w:r>
          </w:p>
        </w:tc>
        <w:tc>
          <w:tcPr>
            <w:tcW w:w="4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96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76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合同签订后1个月内交付，交付地点由甲方指定。</w:t>
            </w:r>
          </w:p>
        </w:tc>
        <w:tc>
          <w:tcPr>
            <w:tcW w:w="4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76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签订合同付（预付）0%，服务完成半年验收后付50%，服务完成一年后付50%。</w:t>
            </w:r>
          </w:p>
        </w:tc>
        <w:tc>
          <w:tcPr>
            <w:tcW w:w="4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履约保证金、质量保证金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76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  <w:tc>
          <w:tcPr>
            <w:tcW w:w="4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76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4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76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保修年限1年，全年故障停机时间不高于5%（按365日/年计算)。故障停机每超出1天，按两倍时间延保。</w:t>
            </w:r>
          </w:p>
        </w:tc>
        <w:tc>
          <w:tcPr>
            <w:tcW w:w="4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（企业承诺）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售后服务2（质保）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76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4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76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提供不少于2人次、1天的工程师维修培训。</w:t>
            </w:r>
          </w:p>
        </w:tc>
        <w:tc>
          <w:tcPr>
            <w:tcW w:w="4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(响应时间)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76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16"/>
                <w:rFonts w:hint="eastAsia" w:asciiTheme="minorEastAsia" w:hAnsiTheme="minorEastAsia" w:eastAsiaTheme="minorEastAsia" w:cstheme="minorEastAsia"/>
                <w:i w:val="0"/>
                <w:iCs w:val="0"/>
                <w:sz w:val="20"/>
                <w:szCs w:val="20"/>
                <w:lang w:val="en-US" w:eastAsia="zh-CN" w:bidi="ar"/>
              </w:rPr>
              <w:t>维修响应时间≤2小时，维修到达现场时间≤24小时。</w:t>
            </w:r>
          </w:p>
        </w:tc>
        <w:tc>
          <w:tcPr>
            <w:tcW w:w="4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专用工具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76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内镜专用测漏器，调解台车挡板高度及挂臂的专用板手，螺丝刀。</w:t>
            </w:r>
          </w:p>
        </w:tc>
        <w:tc>
          <w:tcPr>
            <w:tcW w:w="4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96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  <w:t>注：1.★指标为必须响应指标，任意一项不满足要求即做废标处理；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400" w:firstLineChars="20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0"/>
                <w:szCs w:val="20"/>
                <w:u w:val="none"/>
              </w:rPr>
              <w:t>2.★及▲标识的指标，需逐条按备注要求提供证明材料，未明确的可由企业提供承诺；</w:t>
            </w:r>
          </w:p>
        </w:tc>
      </w:tr>
    </w:tbl>
    <w:p>
      <w:bookmarkStart w:id="0" w:name="_GoBack"/>
      <w:bookmarkEnd w:id="0"/>
    </w:p>
    <w:sectPr>
      <w:pgSz w:w="11906" w:h="16838"/>
      <w:pgMar w:top="1360" w:right="720" w:bottom="1078" w:left="720" w:header="851" w:footer="67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Times New Roman''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DengXian">
    <w:altName w:val="宋体"/>
    <w:panose1 w:val="02010600030101010101"/>
    <w:charset w:val="86"/>
    <w:family w:val="modern"/>
    <w:pitch w:val="default"/>
    <w:sig w:usb0="00000000" w:usb1="00000000" w:usb2="00000010" w:usb3="00000000" w:csb0="0004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书体坊王学勤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米芾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剪纸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剪纸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简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繁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大黑繁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宋黑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倩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圆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粗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胖头鱼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铁筋隶书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铁筋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静蕾简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简中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行楷">
    <w:altName w:val="楷体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隶书">
    <w:altName w:val="隶书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文鼎古印体繁">
    <w:altName w:val="Segoe Print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经典繁行书">
    <w:altName w:val="宋体"/>
    <w:panose1 w:val="02010609010101010101"/>
    <w:charset w:val="86"/>
    <w:family w:val="auto"/>
    <w:pitch w:val="default"/>
    <w:sig w:usb0="00000000" w:usb1="00000000" w:usb2="0000001E" w:usb3="00000000" w:csb0="2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仿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FangSong_GB2312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@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@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D82E3C"/>
    <w:rsid w:val="19CA0BAD"/>
    <w:rsid w:val="20DE52D5"/>
    <w:rsid w:val="364E2173"/>
    <w:rsid w:val="479F61AB"/>
    <w:rsid w:val="4FD82E3C"/>
    <w:rsid w:val="6134384D"/>
    <w:rsid w:val="64B4110C"/>
    <w:rsid w:val="671D6288"/>
    <w:rsid w:val="7C9D0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880" w:firstLineChars="200"/>
      <w:jc w:val="left"/>
    </w:pPr>
    <w:rPr>
      <w:rFonts w:eastAsia="仿宋_GB2312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3">
    <w:name w:val="heading 1"/>
    <w:basedOn w:val="4"/>
    <w:next w:val="1"/>
    <w:qFormat/>
    <w:uiPriority w:val="0"/>
    <w:pPr>
      <w:keepNext/>
      <w:keepLines/>
      <w:spacing w:beforeLines="0" w:beforeAutospacing="0" w:afterLines="0" w:afterAutospacing="0" w:line="560" w:lineRule="exact"/>
      <w:outlineLvl w:val="0"/>
    </w:pPr>
    <w:rPr>
      <w:rFonts w:ascii="Times New Roman" w:hAnsi="Times New Roman" w:eastAsia="方正小标宋简体" w:cs="Times New Roman"/>
      <w:b w:val="0"/>
      <w:kern w:val="44"/>
      <w:sz w:val="44"/>
    </w:rPr>
  </w:style>
  <w:style w:type="paragraph" w:styleId="5">
    <w:name w:val="heading 2"/>
    <w:basedOn w:val="1"/>
    <w:next w:val="1"/>
    <w:unhideWhenUsed/>
    <w:qFormat/>
    <w:uiPriority w:val="0"/>
    <w:pPr>
      <w:spacing w:beforeAutospacing="0" w:afterAutospacing="0" w:line="560" w:lineRule="exact"/>
      <w:ind w:firstLine="880" w:firstLineChars="200"/>
      <w:jc w:val="left"/>
      <w:outlineLvl w:val="1"/>
    </w:pPr>
    <w:rPr>
      <w:rFonts w:hint="eastAsia" w:ascii="宋体" w:hAnsi="宋体" w:eastAsia="黑体" w:cs="Times New Roman"/>
      <w:kern w:val="0"/>
      <w:szCs w:val="36"/>
    </w:rPr>
  </w:style>
  <w:style w:type="paragraph" w:styleId="6">
    <w:name w:val="heading 3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2"/>
    </w:pPr>
    <w:rPr>
      <w:b/>
    </w:rPr>
  </w:style>
  <w:style w:type="character" w:default="1" w:styleId="9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</w:style>
  <w:style w:type="paragraph" w:styleId="4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styleId="7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11">
    <w:name w:val="一级标题"/>
    <w:basedOn w:val="3"/>
    <w:next w:val="1"/>
    <w:qFormat/>
    <w:uiPriority w:val="0"/>
    <w:pPr>
      <w:spacing w:line="560" w:lineRule="exact"/>
      <w:ind w:firstLine="880" w:firstLineChars="200"/>
    </w:pPr>
    <w:rPr>
      <w:rFonts w:eastAsia="黑体" w:asciiTheme="minorAscii" w:hAnsiTheme="minorAscii"/>
      <w:sz w:val="32"/>
    </w:rPr>
  </w:style>
  <w:style w:type="paragraph" w:customStyle="1" w:styleId="12">
    <w:name w:val="样式1"/>
    <w:basedOn w:val="3"/>
    <w:next w:val="1"/>
    <w:qFormat/>
    <w:uiPriority w:val="0"/>
    <w:pPr>
      <w:spacing w:line="560" w:lineRule="exact"/>
      <w:ind w:firstLine="880" w:firstLineChars="200"/>
      <w:jc w:val="left"/>
    </w:pPr>
    <w:rPr>
      <w:rFonts w:eastAsia="黑体" w:asciiTheme="minorAscii" w:hAnsiTheme="minorAscii"/>
      <w:sz w:val="32"/>
    </w:rPr>
  </w:style>
  <w:style w:type="character" w:customStyle="1" w:styleId="13">
    <w:name w:val="font71"/>
    <w:basedOn w:val="9"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4">
    <w:name w:val="font81"/>
    <w:basedOn w:val="9"/>
    <w:uiPriority w:val="0"/>
    <w:rPr>
      <w:rFonts w:hint="eastAsia" w:ascii="黑体" w:hAnsi="宋体" w:eastAsia="黑体" w:cs="黑体"/>
      <w:color w:val="FF0000"/>
      <w:sz w:val="20"/>
      <w:szCs w:val="20"/>
      <w:u w:val="none"/>
    </w:rPr>
  </w:style>
  <w:style w:type="character" w:customStyle="1" w:styleId="15">
    <w:name w:val="font61"/>
    <w:basedOn w:val="9"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6">
    <w:name w:val="font41"/>
    <w:basedOn w:val="9"/>
    <w:uiPriority w:val="0"/>
    <w:rPr>
      <w:rFonts w:hint="eastAsia" w:ascii="黑体" w:hAnsi="宋体" w:eastAsia="黑体" w:cs="黑体"/>
      <w:i/>
      <w:color w:val="000000"/>
      <w:sz w:val="20"/>
      <w:szCs w:val="20"/>
      <w:u w:val="none"/>
    </w:rPr>
  </w:style>
  <w:style w:type="character" w:customStyle="1" w:styleId="17">
    <w:name w:val="font11"/>
    <w:basedOn w:val="9"/>
    <w:uiPriority w:val="0"/>
    <w:rPr>
      <w:rFonts w:ascii="Wingdings 2" w:hAnsi="Wingdings 2" w:eastAsia="Wingdings 2" w:cs="Wingdings 2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2025-02-19T02:04:00Z</dcterms:created>
  <dc:creator>admin</dc:creator>
  <cp:lastModifiedBy>admin</cp:lastModifiedBy>
  <dcterms:modified xsi:type="dcterms:W3CDTF">2025-02-19T02:39:06Z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