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</w:pPr>
      <w:bookmarkStart w:id="0" w:name="_Toc128151026"/>
      <w:bookmarkStart w:id="1" w:name="_Toc128150777"/>
      <w:bookmarkStart w:id="2" w:name="_Toc30945"/>
      <w:bookmarkStart w:id="3" w:name="_Toc22387"/>
      <w:bookmarkStart w:id="4" w:name="_Toc189"/>
      <w:bookmarkStart w:id="5" w:name="_Toc128397969"/>
      <w:bookmarkStart w:id="6" w:name="_Toc130887499"/>
      <w:bookmarkStart w:id="7" w:name="_Toc132190633"/>
      <w:bookmarkStart w:id="8" w:name="_Toc128150133"/>
      <w:bookmarkStart w:id="9" w:name="_Toc127820563"/>
      <w:bookmarkStart w:id="10" w:name="_Toc25703"/>
      <w:bookmarkStart w:id="11" w:name="_Toc132186975"/>
      <w:bookmarkStart w:id="12" w:name="_Toc132191259"/>
      <w:bookmarkStart w:id="13" w:name="_Toc130888007"/>
      <w:bookmarkStart w:id="14" w:name="_Toc128470295"/>
      <w:bookmarkStart w:id="15" w:name="_Toc128154368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（（一）、（二）、（三）、（四）均为实质性响应条款，不接受负偏离）</w:t>
      </w:r>
    </w:p>
    <w:p>
      <w:pPr>
        <w:numPr>
          <w:ilvl w:val="0"/>
          <w:numId w:val="0"/>
        </w:numPr>
        <w:ind w:firstLine="281" w:firstLineChars="100"/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0"/>
          <w:sz w:val="28"/>
          <w:szCs w:val="28"/>
          <w:highlight w:val="none"/>
          <w:u w:val="single"/>
          <w:lang w:val="zh-CN" w:eastAsia="zh-CN" w:bidi="ar-SA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691"/>
        <w:gridCol w:w="5543"/>
        <w:gridCol w:w="54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保修年限不低于1年，全年故障停机时间不高于5%（按365日/年计算)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二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）知识产权和保密要求</w:t>
      </w:r>
    </w:p>
    <w:p>
      <w:pPr>
        <w:pStyle w:val="6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投标供应商应当保证采购单位在使用该物资或其任何一部分时，不受第三方侵权指控。同时，投标供应商不得向第三方泄露采购机构提供的技术文件等材料。基于项目合同履行形成的知识产权和其他权益，其权属归采购单位所有，法律另有规定的除外。</w:t>
      </w:r>
    </w:p>
    <w:p>
      <w:pPr>
        <w:pStyle w:val="6"/>
        <w:spacing w:line="360" w:lineRule="auto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6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本项目对物资的编目编码、打码贴签要求，投标供应商应当予以明确响应，相关费用包含在报价中。</w:t>
      </w:r>
    </w:p>
    <w:p>
      <w:pPr>
        <w:pStyle w:val="6"/>
        <w:spacing w:line="360" w:lineRule="auto"/>
        <w:ind w:firstLine="560"/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四</w:t>
      </w:r>
      <w:r>
        <w:rPr>
          <w:rFonts w:hint="eastAsia" w:ascii="宋体" w:hAnsi="宋体" w:eastAsia="宋体" w:cs="Times New Roman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）其他</w:t>
      </w:r>
    </w:p>
    <w:p>
      <w:pPr>
        <w:pStyle w:val="6"/>
        <w:spacing w:line="360" w:lineRule="auto"/>
        <w:ind w:firstLine="560"/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Cs/>
          <w:color w:val="auto"/>
          <w:sz w:val="28"/>
          <w:szCs w:val="28"/>
          <w:highlight w:val="none"/>
          <w:lang w:val="zh-CN" w:eastAsia="zh-CN"/>
        </w:rPr>
        <w:t>中标企业在领取成交通知书前，设备及耗材最终谈判报价按附件1、2、3内容重新组价并签字盖章。</w:t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3"/>
        <w:gridCol w:w="790"/>
        <w:gridCol w:w="440"/>
        <w:gridCol w:w="2166"/>
        <w:gridCol w:w="1714"/>
        <w:gridCol w:w="440"/>
        <w:gridCol w:w="24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全自动化学发光免疫分析仪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具备醛固酮、肾素、皮质醇、肾上腺皮质激素等指标的检测能力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提供配套试剂医疗器械注册证或产品彩页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采用基于异鲁米诺衍生物的化学发光免疫分析法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≥每小时180个测试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样本装载能力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≥120个样本，可在样本区的任何位置分配急诊样本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样本携带污染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采用一次性样本吸头，避免携带污染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试剂加载能力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≥25个冷藏试剂位，≥4个冷藏辅助试剂位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试剂处理控制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无线射频识别（RFID），自动追踪可用试剂量并更新到整合于试剂上的RFID电子标签中，追踪定标液的有效性，追踪上机试剂的开盖稳定性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试剂集成技术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试剂盒主要组成成分包含磁微粒、校准品、样本稀释液等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试剂盒医疗器械注册证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反应杯装载能力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单孔反应杯，可连续加载，可不限方向，随意加载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定量检测人血清、EDTA血浆以及尿液样本中的醛固酮。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可配套提供样本稀释液，用于样本稀释。可配套提供醛固酮中和缓冲液，用于尿液样本检测前，中和经酸水解的尿液样本。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提供试剂医疗器械注册证、醛固酮试剂说明书、中和缓冲液说明书、样本稀释液说明书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定量测定EDTA-血浆样本中肾素的含量，并可溯源至至世界卫生组织国际参考标准品制品，NIBSC 68/356号，结果以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μIU/mL表示。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提供试剂医疗器械注册证和试剂说明书，提供WHO溯源文件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定性检测人血清或</w:t>
            </w:r>
            <w:r>
              <w:rPr>
                <w:rFonts w:ascii="宋体-简" w:hAnsi="宋体-简" w:eastAsia="宋体-简" w:cs="宋体-简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</w:t>
            </w:r>
            <w:r>
              <w:rPr>
                <w:rStyle w:val="7"/>
                <w:lang w:val="en-US" w:eastAsia="zh-CN" w:bidi="ar"/>
              </w:rPr>
              <w:t>浆中的细小病毒B19特异性IgM抗体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定性检测</w:t>
            </w:r>
            <w:r>
              <w:rPr>
                <w:rFonts w:ascii="宋体-简" w:hAnsi="宋体-简" w:eastAsia="宋体-简" w:cs="宋体-简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人血</w:t>
            </w:r>
            <w:r>
              <w:rPr>
                <w:rStyle w:val="7"/>
                <w:lang w:val="en-US" w:eastAsia="zh-CN" w:bidi="ar"/>
              </w:rPr>
              <w:t>清或</w:t>
            </w:r>
            <w:r>
              <w:rPr>
                <w:rFonts w:ascii="宋体-简" w:hAnsi="宋体-简" w:eastAsia="宋体-简" w:cs="宋体-简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</w:t>
            </w:r>
            <w:r>
              <w:rPr>
                <w:rStyle w:val="7"/>
                <w:lang w:val="en-US" w:eastAsia="zh-CN" w:bidi="ar"/>
              </w:rPr>
              <w:t>浆中的细小病毒B19特异性IgG抗体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定量检测人血清和血浆中特异性风疹病毒IgG抗体，定量测定人血清和血浆中人巨细胞病毒特意的IgG抗体，定量检测人血清和血浆中特异性刚地弓形虫IgG抗体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定量检测人血清中抗EB病毒核抗原（EBNA）的特异IgG抗体，定量检测人血清中的EB病毒早期抗原 [EA(D)] IgG抗体，定量检测人血清样本中的EB病毒壳体抗原（VCA）的特异性IgG抗体的含量。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提供试剂医疗器械注册证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全自动化学发光免疫分析仪主机一台、配套UPS电源一台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1891"/>
        <w:gridCol w:w="606"/>
        <w:gridCol w:w="1200"/>
        <w:gridCol w:w="784"/>
        <w:gridCol w:w="1536"/>
        <w:gridCol w:w="4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全自动化学发光免疫分析仪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醛固酮检测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肾素检测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-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4686F"/>
    <w:multiLevelType w:val="singleLevel"/>
    <w:tmpl w:val="832468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4CAED2"/>
    <w:multiLevelType w:val="singleLevel"/>
    <w:tmpl w:val="B24CAE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6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7">
    <w:name w:val="font41"/>
    <w:basedOn w:val="5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2025-01-22T07:26:52Z</dcterms:created>
  <dc:creator>DOCTOR</dc:creator>
  <cp:lastModifiedBy>DOCTOR</cp:lastModifiedBy>
  <dcterms:modified xsi:type="dcterms:W3CDTF">2025-01-22T07:26:55Z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