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1" w:rightFromText="181" w:vertAnchor="text" w:horzAnchor="page" w:tblpX="1520" w:tblpY="1"/>
        <w:tblOverlap w:val="never"/>
        <w:tblW w:w="9060" w:type="dxa"/>
        <w:tblInd w:w="0" w:type="dxa"/>
        <w:tblLayout w:type="fixed"/>
        <w:tblCellMar>
          <w:top w:w="0" w:type="dxa"/>
          <w:left w:w="108" w:type="dxa"/>
          <w:bottom w:w="0" w:type="dxa"/>
          <w:right w:w="108" w:type="dxa"/>
        </w:tblCellMar>
      </w:tblPr>
      <w:tblGrid>
        <w:gridCol w:w="415"/>
        <w:gridCol w:w="436"/>
        <w:gridCol w:w="657"/>
        <w:gridCol w:w="409"/>
        <w:gridCol w:w="1184"/>
        <w:gridCol w:w="805"/>
        <w:gridCol w:w="2945"/>
        <w:gridCol w:w="927"/>
        <w:gridCol w:w="232"/>
        <w:gridCol w:w="125"/>
        <w:gridCol w:w="66"/>
        <w:gridCol w:w="793"/>
        <w:gridCol w:w="66"/>
      </w:tblGrid>
      <w:tr>
        <w:tblPrEx>
          <w:tblLayout w:type="fixed"/>
          <w:tblCellMar>
            <w:top w:w="0" w:type="dxa"/>
            <w:left w:w="108" w:type="dxa"/>
            <w:bottom w:w="0" w:type="dxa"/>
            <w:right w:w="108" w:type="dxa"/>
          </w:tblCellMar>
        </w:tblPrEx>
        <w:trPr>
          <w:trHeight w:val="23" w:hRule="atLeast"/>
        </w:trPr>
        <w:tc>
          <w:tcPr>
            <w:tcW w:w="9060" w:type="dxa"/>
            <w:gridSpan w:val="13"/>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firstLine="0" w:firstLineChars="0"/>
              <w:jc w:val="center"/>
              <w:textAlignment w:val="auto"/>
              <w:outlineLvl w:val="9"/>
              <w:rPr>
                <w:rFonts w:hint="eastAsia" w:ascii="黑体" w:hAnsi="宋体" w:eastAsia="黑体" w:cs="黑体"/>
                <w:sz w:val="32"/>
                <w:szCs w:val="32"/>
              </w:rPr>
            </w:pPr>
            <w:r>
              <w:rPr>
                <w:rFonts w:hint="eastAsia" w:ascii="方正小标宋简体" w:hAnsi="方正小标宋简体" w:eastAsia="方正小标宋简体" w:cs="方正小标宋简体"/>
                <w:kern w:val="0"/>
                <w:sz w:val="32"/>
                <w:szCs w:val="32"/>
              </w:rPr>
              <w:t>采购需求表（服务类）</w:t>
            </w:r>
          </w:p>
        </w:tc>
      </w:tr>
      <w:tr>
        <w:tblPrEx>
          <w:tblLayout w:type="fixed"/>
          <w:tblCellMar>
            <w:top w:w="0" w:type="dxa"/>
            <w:left w:w="108" w:type="dxa"/>
            <w:bottom w:w="0" w:type="dxa"/>
            <w:right w:w="108" w:type="dxa"/>
          </w:tblCellMar>
        </w:tblPrEx>
        <w:trPr>
          <w:trHeight w:val="23" w:hRule="atLeast"/>
        </w:trPr>
        <w:tc>
          <w:tcPr>
            <w:tcW w:w="85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lang w:eastAsia="zh-CN"/>
              </w:rPr>
            </w:pPr>
            <w:r>
              <w:rPr>
                <w:rFonts w:hint="eastAsia" w:ascii="黑体" w:hAnsi="黑体" w:eastAsia="黑体" w:cs="黑体"/>
                <w:lang w:eastAsia="zh-CN"/>
              </w:rPr>
              <w:t>项目</w:t>
            </w:r>
          </w:p>
          <w:p>
            <w:pPr>
              <w:pStyle w:val="2"/>
              <w:keepNext w:val="0"/>
              <w:keepLines w:val="0"/>
              <w:pageBreakBefore w:val="0"/>
              <w:kinsoku/>
              <w:wordWrap/>
              <w:overflowPunct/>
              <w:topLinePunct w:val="0"/>
              <w:autoSpaceDE/>
              <w:autoSpaceDN/>
              <w:bidi w:val="0"/>
              <w:adjustRightInd w:val="0"/>
              <w:snapToGrid w:val="0"/>
              <w:spacing w:after="0" w:line="220" w:lineRule="exact"/>
              <w:ind w:left="0" w:leftChars="0" w:right="0" w:rightChars="0" w:firstLine="0" w:firstLineChars="0"/>
              <w:jc w:val="center"/>
              <w:outlineLvl w:val="9"/>
              <w:rPr>
                <w:rFonts w:hint="eastAsia"/>
                <w:lang w:eastAsia="zh-CN"/>
              </w:rPr>
            </w:pPr>
            <w:r>
              <w:rPr>
                <w:rFonts w:hint="eastAsia" w:ascii="黑体" w:hAnsi="黑体" w:eastAsia="黑体" w:cs="黑体"/>
                <w:sz w:val="20"/>
                <w:lang w:eastAsia="zh-CN"/>
              </w:rPr>
              <w:t>编号</w:t>
            </w:r>
          </w:p>
        </w:tc>
        <w:tc>
          <w:tcPr>
            <w:tcW w:w="22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leftChars="0" w:right="0" w:rightChars="0" w:firstLine="0" w:firstLineChars="0"/>
              <w:jc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2024-JQ06-F5116</w:t>
            </w:r>
          </w:p>
        </w:tc>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kern w:val="0"/>
                <w:sz w:val="20"/>
              </w:rPr>
            </w:pPr>
            <w:r>
              <w:rPr>
                <w:rFonts w:hint="eastAsia" w:ascii="黑体" w:hAnsi="黑体" w:eastAsia="黑体" w:cs="黑体"/>
                <w:kern w:val="0"/>
                <w:sz w:val="20"/>
              </w:rPr>
              <w:t>项目</w:t>
            </w:r>
          </w:p>
          <w:p>
            <w:pPr>
              <w:keepNext w:val="0"/>
              <w:keepLines w:val="0"/>
              <w:pageBreakBefore w:val="0"/>
              <w:widowControl/>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sz w:val="20"/>
              </w:rPr>
            </w:pPr>
            <w:r>
              <w:rPr>
                <w:rFonts w:hint="eastAsia" w:ascii="黑体" w:hAnsi="黑体" w:eastAsia="黑体" w:cs="黑体"/>
                <w:kern w:val="0"/>
                <w:sz w:val="20"/>
              </w:rPr>
              <w:t>名称</w:t>
            </w:r>
          </w:p>
        </w:tc>
        <w:tc>
          <w:tcPr>
            <w:tcW w:w="29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leftChars="0" w:right="0" w:rightChars="0" w:firstLine="0" w:firstLineChars="0"/>
              <w:jc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iCT配件更换维修服务</w:t>
            </w:r>
          </w:p>
        </w:tc>
        <w:tc>
          <w:tcPr>
            <w:tcW w:w="11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kern w:val="0"/>
                <w:sz w:val="20"/>
              </w:rPr>
            </w:pPr>
            <w:r>
              <w:rPr>
                <w:rFonts w:hint="eastAsia" w:ascii="黑体" w:hAnsi="黑体" w:eastAsia="黑体" w:cs="黑体"/>
                <w:kern w:val="0"/>
                <w:sz w:val="20"/>
              </w:rPr>
              <w:t>最高限价</w:t>
            </w:r>
          </w:p>
          <w:p>
            <w:pPr>
              <w:keepNext w:val="0"/>
              <w:keepLines w:val="0"/>
              <w:pageBreakBefore w:val="0"/>
              <w:widowControl/>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sz w:val="20"/>
              </w:rPr>
            </w:pPr>
            <w:r>
              <w:rPr>
                <w:rFonts w:hint="eastAsia" w:ascii="黑体" w:hAnsi="黑体" w:eastAsia="黑体" w:cs="黑体"/>
                <w:kern w:val="0"/>
                <w:sz w:val="20"/>
              </w:rPr>
              <w:t>（万元）</w:t>
            </w:r>
          </w:p>
        </w:tc>
        <w:tc>
          <w:tcPr>
            <w:tcW w:w="105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0" w:leftChars="0" w:right="0" w:rightChars="0" w:firstLine="0" w:firstLineChars="0"/>
              <w:jc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61.1326</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105" w:leftChars="-50" w:right="-105" w:rightChars="-50" w:firstLine="0" w:firstLineChars="0"/>
              <w:jc w:val="center"/>
              <w:textAlignment w:val="center"/>
              <w:outlineLvl w:val="9"/>
              <w:rPr>
                <w:rFonts w:hint="eastAsia" w:ascii="黑体" w:hAnsi="黑体" w:eastAsia="黑体" w:cs="黑体"/>
                <w:sz w:val="20"/>
              </w:rPr>
            </w:pPr>
            <w:r>
              <w:rPr>
                <w:rFonts w:hint="eastAsia" w:ascii="黑体" w:hAnsi="黑体" w:eastAsia="黑体" w:cs="黑体"/>
                <w:kern w:val="0"/>
                <w:sz w:val="20"/>
              </w:rPr>
              <w:t>序号</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105" w:leftChars="-50" w:right="-105" w:rightChars="-50" w:firstLine="0" w:firstLineChars="0"/>
              <w:jc w:val="center"/>
              <w:textAlignment w:val="center"/>
              <w:outlineLvl w:val="9"/>
              <w:rPr>
                <w:rFonts w:hint="eastAsia" w:ascii="黑体" w:hAnsi="黑体" w:eastAsia="黑体" w:cs="黑体"/>
                <w:kern w:val="0"/>
                <w:sz w:val="20"/>
              </w:rPr>
            </w:pPr>
            <w:r>
              <w:rPr>
                <w:rFonts w:hint="eastAsia" w:ascii="黑体" w:hAnsi="黑体" w:eastAsia="黑体" w:cs="黑体"/>
                <w:kern w:val="0"/>
                <w:sz w:val="20"/>
              </w:rPr>
              <w:t>需求名称</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105" w:leftChars="-50" w:right="-105" w:rightChars="-50" w:firstLine="0" w:firstLineChars="0"/>
              <w:jc w:val="center"/>
              <w:textAlignment w:val="center"/>
              <w:outlineLvl w:val="9"/>
              <w:rPr>
                <w:rFonts w:hint="eastAsia" w:ascii="黑体" w:hAnsi="黑体" w:eastAsia="黑体" w:cs="黑体"/>
                <w:kern w:val="0"/>
                <w:sz w:val="20"/>
              </w:rPr>
            </w:pPr>
            <w:r>
              <w:rPr>
                <w:rFonts w:hint="eastAsia" w:ascii="黑体" w:hAnsi="黑体" w:eastAsia="黑体" w:cs="黑体"/>
                <w:kern w:val="0"/>
                <w:sz w:val="20"/>
              </w:rPr>
              <w:t>参数</w:t>
            </w:r>
          </w:p>
          <w:p>
            <w:pPr>
              <w:keepNext w:val="0"/>
              <w:keepLines w:val="0"/>
              <w:pageBreakBefore w:val="0"/>
              <w:widowControl/>
              <w:kinsoku/>
              <w:wordWrap/>
              <w:overflowPunct/>
              <w:topLinePunct w:val="0"/>
              <w:autoSpaceDE/>
              <w:autoSpaceDN/>
              <w:bidi w:val="0"/>
              <w:adjustRightInd w:val="0"/>
              <w:snapToGrid w:val="0"/>
              <w:spacing w:line="220" w:lineRule="exact"/>
              <w:ind w:left="-105" w:leftChars="-50" w:right="-105" w:rightChars="-50" w:firstLine="0" w:firstLineChars="0"/>
              <w:jc w:val="center"/>
              <w:textAlignment w:val="center"/>
              <w:outlineLvl w:val="9"/>
              <w:rPr>
                <w:rFonts w:hint="eastAsia" w:ascii="黑体" w:hAnsi="黑体" w:eastAsia="黑体" w:cs="黑体"/>
                <w:sz w:val="20"/>
              </w:rPr>
            </w:pPr>
            <w:r>
              <w:rPr>
                <w:rFonts w:hint="eastAsia" w:ascii="黑体" w:hAnsi="黑体" w:eastAsia="黑体" w:cs="黑体"/>
                <w:kern w:val="0"/>
                <w:sz w:val="20"/>
              </w:rPr>
              <w:t>性质</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105" w:leftChars="-50" w:right="-105" w:rightChars="-50" w:firstLine="0" w:firstLineChars="0"/>
              <w:jc w:val="center"/>
              <w:textAlignment w:val="center"/>
              <w:outlineLvl w:val="9"/>
              <w:rPr>
                <w:rFonts w:hint="eastAsia" w:ascii="黑体" w:hAnsi="黑体" w:eastAsia="黑体" w:cs="黑体"/>
                <w:sz w:val="20"/>
              </w:rPr>
            </w:pPr>
            <w:r>
              <w:rPr>
                <w:rFonts w:hint="eastAsia" w:ascii="黑体" w:hAnsi="黑体" w:eastAsia="黑体" w:cs="黑体"/>
                <w:kern w:val="0"/>
                <w:sz w:val="20"/>
              </w:rPr>
              <w:t>需求具体内容</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105" w:leftChars="-50" w:right="-105" w:rightChars="-50" w:firstLine="0" w:firstLineChars="0"/>
              <w:jc w:val="center"/>
              <w:textAlignment w:val="center"/>
              <w:outlineLvl w:val="9"/>
              <w:rPr>
                <w:rFonts w:hint="eastAsia" w:ascii="黑体" w:hAnsi="黑体" w:eastAsia="黑体" w:cs="黑体"/>
                <w:sz w:val="20"/>
              </w:rPr>
            </w:pPr>
            <w:r>
              <w:rPr>
                <w:rFonts w:hint="eastAsia" w:ascii="黑体" w:hAnsi="黑体" w:eastAsia="黑体" w:cs="黑体"/>
                <w:kern w:val="0"/>
                <w:sz w:val="20"/>
              </w:rPr>
              <w:t>是否</w:t>
            </w:r>
            <w:r>
              <w:rPr>
                <w:rFonts w:hint="eastAsia" w:ascii="黑体" w:hAnsi="黑体" w:eastAsia="黑体" w:cs="黑体"/>
                <w:kern w:val="0"/>
                <w:sz w:val="20"/>
              </w:rPr>
              <w:br w:type="textWrapping"/>
            </w:r>
            <w:r>
              <w:rPr>
                <w:rFonts w:hint="eastAsia" w:ascii="黑体" w:hAnsi="黑体" w:eastAsia="黑体" w:cs="黑体"/>
                <w:kern w:val="0"/>
                <w:sz w:val="20"/>
              </w:rPr>
              <w:t>量化</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20" w:lineRule="exact"/>
              <w:ind w:left="-105" w:leftChars="-50" w:right="-105" w:rightChars="-50" w:firstLine="0" w:firstLineChars="0"/>
              <w:jc w:val="center"/>
              <w:textAlignment w:val="center"/>
              <w:outlineLvl w:val="9"/>
              <w:rPr>
                <w:rFonts w:hint="eastAsia" w:ascii="黑体" w:hAnsi="黑体" w:eastAsia="黑体" w:cs="黑体"/>
                <w:sz w:val="20"/>
              </w:rPr>
            </w:pPr>
            <w:r>
              <w:rPr>
                <w:rFonts w:hint="eastAsia" w:ascii="黑体" w:hAnsi="黑体" w:eastAsia="黑体" w:cs="黑体"/>
                <w:kern w:val="0"/>
                <w:sz w:val="20"/>
              </w:rPr>
              <w:t>备注</w:t>
            </w:r>
          </w:p>
        </w:tc>
      </w:tr>
      <w:tr>
        <w:tblPrEx>
          <w:tblLayout w:type="fixed"/>
          <w:tblCellMar>
            <w:top w:w="0" w:type="dxa"/>
            <w:left w:w="108" w:type="dxa"/>
            <w:bottom w:w="0" w:type="dxa"/>
            <w:right w:w="108" w:type="dxa"/>
          </w:tblCellMar>
        </w:tblPrEx>
        <w:trPr>
          <w:trHeight w:val="23" w:hRule="atLeast"/>
        </w:trPr>
        <w:tc>
          <w:tcPr>
            <w:tcW w:w="9060" w:type="dxa"/>
            <w:gridSpan w:val="1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kern w:val="0"/>
                <w:sz w:val="20"/>
              </w:rPr>
            </w:pPr>
            <w:r>
              <w:rPr>
                <w:rFonts w:hint="eastAsia" w:ascii="黑体" w:hAnsi="黑体" w:eastAsia="黑体" w:cs="黑体"/>
                <w:kern w:val="0"/>
                <w:sz w:val="20"/>
              </w:rPr>
              <w:t>技术要求</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1</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基本要求</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lang w:val="en-US" w:eastAsia="zh-CN"/>
              </w:rPr>
            </w:pPr>
            <w:r>
              <w:rPr>
                <w:rFonts w:hint="eastAsia" w:asciiTheme="minorEastAsia" w:hAnsiTheme="minorEastAsia" w:eastAsiaTheme="minorEastAsia" w:cstheme="minorEastAsia"/>
                <w:kern w:val="0"/>
                <w:sz w:val="20"/>
              </w:rPr>
              <w:t>飞利浦公司或其授权代理商提供飞利浦Brilliance iCT配件——R2D电路板、灯丝焦点控制单元、ACQ卡维修更换服务</w:t>
            </w:r>
            <w:r>
              <w:rPr>
                <w:rFonts w:hint="eastAsia" w:asciiTheme="minorEastAsia" w:hAnsiTheme="minorEastAsia" w:eastAsiaTheme="minorEastAsia" w:cstheme="minorEastAsia"/>
                <w:kern w:val="0"/>
                <w:sz w:val="20"/>
                <w:lang w:eastAsia="zh-CN"/>
              </w:rPr>
              <w:t>，</w:t>
            </w:r>
            <w:r>
              <w:rPr>
                <w:rFonts w:hint="eastAsia" w:asciiTheme="minorEastAsia" w:hAnsiTheme="minorEastAsia" w:eastAsiaTheme="minorEastAsia" w:cstheme="minorEastAsia"/>
                <w:kern w:val="0"/>
                <w:sz w:val="20"/>
                <w:lang w:val="en-US" w:eastAsia="zh-CN"/>
              </w:rPr>
              <w:t>换下旧备件由供应商收回</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lang w:eastAsia="zh-CN"/>
              </w:rPr>
              <w:t>厂家</w:t>
            </w:r>
            <w:r>
              <w:rPr>
                <w:rFonts w:hint="eastAsia" w:asciiTheme="minorEastAsia" w:hAnsiTheme="minorEastAsia" w:eastAsiaTheme="minorEastAsia" w:cstheme="minorEastAsia"/>
                <w:kern w:val="0"/>
                <w:sz w:val="20"/>
              </w:rPr>
              <w:t>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2</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技术指标</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飞利浦公司或其授权代理商具有原厂认证维修资质认证的资深维修工程师≥5名</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3</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企业资格</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飞利浦公司或其授权代理商应具有医疗设备维修企业资格</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4</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其他资格性条件</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飞利浦公司或其授权代理商应在北京市内设有长期稳定的服务机构≥3年。通过必要的质量体系认证≥2项</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5</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项目经理</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具备同类型相关维保维修服务经验和原厂认证的维修能力提供相应的维修工单或相关维保经验证明。</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6</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w w:val="90"/>
                <w:kern w:val="0"/>
                <w:sz w:val="20"/>
              </w:rPr>
            </w:pPr>
            <w:r>
              <w:rPr>
                <w:rFonts w:hint="eastAsia" w:asciiTheme="minorEastAsia" w:hAnsiTheme="minorEastAsia" w:eastAsiaTheme="minorEastAsia" w:cstheme="minorEastAsia"/>
                <w:w w:val="90"/>
                <w:kern w:val="0"/>
                <w:sz w:val="20"/>
              </w:rPr>
              <w:t>团队服务人员</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具有原厂认证维修资质认证，并提供原厂资质认证证明。</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7</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响应时间</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outlineLvl w:val="9"/>
              <w:rPr>
                <w:rFonts w:hint="eastAsia" w:asciiTheme="minorEastAsia" w:hAnsiTheme="minorEastAsia" w:eastAsiaTheme="minorEastAsia" w:cstheme="minorEastAsia"/>
                <w:sz w:val="20"/>
              </w:rPr>
            </w:pP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lang w:val="en-US" w:eastAsia="zh-CN"/>
              </w:rPr>
              <w:t>电话响应时间</w:t>
            </w:r>
            <w:r>
              <w:rPr>
                <w:rFonts w:hint="eastAsia" w:asciiTheme="minorEastAsia" w:hAnsiTheme="minorEastAsia" w:eastAsiaTheme="minorEastAsia" w:cstheme="minorEastAsia"/>
                <w:kern w:val="0"/>
                <w:sz w:val="20"/>
              </w:rPr>
              <w:t>≤2小时，工程师到场时间≤24小时。更换配件到货安装时间如下：1.国内库房常规配件</w:t>
            </w:r>
            <w:r>
              <w:rPr>
                <w:rFonts w:hint="eastAsia" w:asciiTheme="minorEastAsia" w:hAnsiTheme="minorEastAsia" w:eastAsiaTheme="minorEastAsia" w:cstheme="minorEastAsia"/>
                <w:kern w:val="0"/>
                <w:sz w:val="20"/>
                <w:lang w:eastAsia="zh-CN"/>
              </w:rPr>
              <w:t>：</w:t>
            </w:r>
            <w:r>
              <w:rPr>
                <w:rFonts w:hint="eastAsia" w:asciiTheme="minorEastAsia" w:hAnsiTheme="minorEastAsia" w:eastAsiaTheme="minorEastAsia" w:cstheme="minorEastAsia"/>
                <w:kern w:val="0"/>
                <w:sz w:val="20"/>
              </w:rPr>
              <w:t>≤48小时；2.国外库房：≤7天内到货。 3.如遇全球缺货或特殊情况，双方协商供货周期。</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lang w:eastAsia="zh-CN"/>
              </w:rPr>
              <w:t>厂家</w:t>
            </w:r>
            <w:r>
              <w:rPr>
                <w:rFonts w:hint="eastAsia" w:asciiTheme="minorEastAsia" w:hAnsiTheme="minorEastAsia" w:eastAsiaTheme="minorEastAsia" w:cstheme="minorEastAsia"/>
                <w:kern w:val="0"/>
                <w:sz w:val="20"/>
              </w:rPr>
              <w:t>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8</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备件保证</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所更换的备件必须是原厂零配件，满足设备运行要求。</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lang w:eastAsia="zh-CN"/>
              </w:rPr>
              <w:t>厂家</w:t>
            </w:r>
            <w:r>
              <w:rPr>
                <w:rFonts w:hint="eastAsia" w:asciiTheme="minorEastAsia" w:hAnsiTheme="minorEastAsia" w:eastAsiaTheme="minorEastAsia" w:cstheme="minorEastAsia"/>
                <w:kern w:val="0"/>
                <w:sz w:val="20"/>
              </w:rPr>
              <w:t>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9</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工作时效</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具备客户服务专线电话，全年365天开通，每天24小时开通服务时间，配有在线和远程技术支持。当所保设备出现故障时，按照约定时间响应，及时派遣工程师进行电话指导或赴现场维修。</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lang w:eastAsia="zh-CN"/>
              </w:rPr>
              <w:t>厂家</w:t>
            </w:r>
            <w:r>
              <w:rPr>
                <w:rFonts w:hint="eastAsia" w:asciiTheme="minorEastAsia" w:hAnsiTheme="minorEastAsia" w:eastAsiaTheme="minorEastAsia" w:cstheme="minorEastAsia"/>
                <w:kern w:val="0"/>
                <w:sz w:val="20"/>
              </w:rPr>
              <w:t>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10</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专业工具</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w w:val="97"/>
                <w:kern w:val="0"/>
                <w:sz w:val="20"/>
              </w:rPr>
              <w:t>原厂或其授权代理商须具有经校正的维修设备的专业维修工具、仪器</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11</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备件供应</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供应商或其授权代理商必需在国内设有专业、充足的设备零备件仓库，且符合以下要求：仓库总面积须≥500平方米，并提供相应的租房合同或房产证明资料。</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12</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维修经验</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供应商或其授权代理商具备相同或类似设备的维修维保经验，用户≥3家</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13</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验收标准方法</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both"/>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备件安装完成且设备运行稳定, 经医学工程科出具维修记录单确认验收合格</w:t>
            </w:r>
          </w:p>
        </w:tc>
        <w:tc>
          <w:tcPr>
            <w:tcW w:w="42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szCs w:val="22"/>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outlineLvl w:val="9"/>
              <w:rPr>
                <w:rFonts w:hint="eastAsia" w:asciiTheme="minorEastAsia" w:hAnsiTheme="minorEastAsia" w:eastAsiaTheme="minorEastAsia" w:cstheme="minorEastAsia"/>
                <w:i/>
                <w:iCs/>
                <w:sz w:val="20"/>
                <w:lang w:eastAsia="zh-CN"/>
              </w:rPr>
            </w:pPr>
            <w:r>
              <w:rPr>
                <w:rFonts w:hint="eastAsia" w:asciiTheme="minorEastAsia" w:hAnsiTheme="minorEastAsia" w:eastAsiaTheme="minorEastAsia" w:cstheme="minorEastAsia"/>
                <w:kern w:val="0"/>
                <w:sz w:val="20"/>
                <w:lang w:val="en-US" w:eastAsia="zh-CN"/>
              </w:rPr>
              <w:t xml:space="preserve"> </w:t>
            </w:r>
          </w:p>
        </w:tc>
      </w:tr>
      <w:tr>
        <w:tblPrEx>
          <w:tblLayout w:type="fixed"/>
          <w:tblCellMar>
            <w:top w:w="0" w:type="dxa"/>
            <w:left w:w="108" w:type="dxa"/>
            <w:bottom w:w="0" w:type="dxa"/>
            <w:right w:w="108" w:type="dxa"/>
          </w:tblCellMar>
        </w:tblPrEx>
        <w:trPr>
          <w:trHeight w:val="23" w:hRule="atLeast"/>
        </w:trPr>
        <w:tc>
          <w:tcPr>
            <w:tcW w:w="9060" w:type="dxa"/>
            <w:gridSpan w:val="1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left="-105" w:leftChars="-50" w:right="-105" w:rightChars="-50" w:firstLine="0" w:firstLineChars="0"/>
              <w:jc w:val="center"/>
              <w:textAlignment w:val="center"/>
              <w:outlineLvl w:val="9"/>
              <w:rPr>
                <w:rFonts w:hint="eastAsia" w:ascii="黑体" w:hAnsi="黑体" w:eastAsia="黑体" w:cs="黑体"/>
                <w:kern w:val="0"/>
                <w:sz w:val="20"/>
              </w:rPr>
            </w:pPr>
            <w:r>
              <w:rPr>
                <w:rFonts w:hint="eastAsia" w:ascii="黑体" w:hAnsi="黑体" w:eastAsia="黑体" w:cs="黑体"/>
                <w:kern w:val="0"/>
                <w:sz w:val="20"/>
              </w:rPr>
              <w:t>经济要求</w:t>
            </w:r>
          </w:p>
        </w:tc>
      </w:tr>
      <w:tr>
        <w:tblPrEx>
          <w:tblLayout w:type="fixed"/>
          <w:tblCellMar>
            <w:top w:w="0" w:type="dxa"/>
            <w:left w:w="108" w:type="dxa"/>
            <w:bottom w:w="0" w:type="dxa"/>
            <w:right w:w="108" w:type="dxa"/>
          </w:tblCellMar>
        </w:tblPrEx>
        <w:trPr>
          <w:gridAfter w:val="1"/>
          <w:wAfter w:w="66" w:type="dxa"/>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交货时间、交货地点</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left"/>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合同签订后1个月内交付，交付地点由甲方指定。</w:t>
            </w:r>
          </w:p>
        </w:tc>
        <w:tc>
          <w:tcPr>
            <w:tcW w:w="3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gridAfter w:val="1"/>
          <w:wAfter w:w="66" w:type="dxa"/>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付款及结算方式</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left"/>
              <w:textAlignment w:val="center"/>
              <w:outlineLvl w:val="9"/>
              <w:rPr>
                <w:rFonts w:hint="eastAsia" w:asciiTheme="minorEastAsia" w:hAnsiTheme="minorEastAsia" w:eastAsiaTheme="minorEastAsia" w:cstheme="minorEastAsia"/>
                <w:sz w:val="20"/>
              </w:rPr>
            </w:pPr>
            <w:bookmarkStart w:id="0" w:name="_GoBack"/>
            <w:r>
              <w:rPr>
                <w:rFonts w:hint="eastAsia" w:asciiTheme="minorEastAsia" w:hAnsiTheme="minorEastAsia" w:eastAsiaTheme="minorEastAsia" w:cstheme="minorEastAsia"/>
                <w:kern w:val="0"/>
                <w:sz w:val="20"/>
              </w:rPr>
              <w:t>签订合同付（预付）0%，服务完成验收后付100%</w:t>
            </w:r>
            <w:bookmarkEnd w:id="0"/>
            <w:r>
              <w:rPr>
                <w:rFonts w:hint="eastAsia" w:asciiTheme="minorEastAsia" w:hAnsiTheme="minorEastAsia" w:eastAsiaTheme="minorEastAsia" w:cstheme="minorEastAsia"/>
                <w:kern w:val="0"/>
                <w:sz w:val="20"/>
              </w:rPr>
              <w:t>。</w:t>
            </w:r>
          </w:p>
        </w:tc>
        <w:tc>
          <w:tcPr>
            <w:tcW w:w="3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gridAfter w:val="1"/>
          <w:wAfter w:w="66" w:type="dxa"/>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3</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w w:val="90"/>
                <w:kern w:val="0"/>
                <w:sz w:val="20"/>
              </w:rPr>
              <w:t>履约保证金、质量保证金</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left"/>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无</w:t>
            </w:r>
          </w:p>
        </w:tc>
        <w:tc>
          <w:tcPr>
            <w:tcW w:w="3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gridAfter w:val="1"/>
          <w:wAfter w:w="66" w:type="dxa"/>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4</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产品包装和运输要求</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left"/>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按照国家、行业相关标准规范，产品确保包装完好，运输确保不对产品造成损伤。</w:t>
            </w:r>
          </w:p>
        </w:tc>
        <w:tc>
          <w:tcPr>
            <w:tcW w:w="3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gridAfter w:val="1"/>
          <w:wAfter w:w="66" w:type="dxa"/>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5</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售后服务1</w:t>
            </w:r>
          </w:p>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（质保）</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left"/>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配件保修时限不小于3个月</w:t>
            </w:r>
          </w:p>
        </w:tc>
        <w:tc>
          <w:tcPr>
            <w:tcW w:w="3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w:t>
            </w:r>
            <w:r>
              <w:rPr>
                <w:rFonts w:hint="eastAsia" w:asciiTheme="minorEastAsia" w:hAnsiTheme="minorEastAsia" w:eastAsiaTheme="minorEastAsia" w:cstheme="minorEastAsia"/>
                <w:kern w:val="0"/>
                <w:sz w:val="20"/>
                <w:szCs w:val="22"/>
              </w:rPr>
              <w:t>承诺</w:t>
            </w:r>
          </w:p>
        </w:tc>
      </w:tr>
      <w:tr>
        <w:tblPrEx>
          <w:tblLayout w:type="fixed"/>
          <w:tblCellMar>
            <w:top w:w="0" w:type="dxa"/>
            <w:left w:w="108" w:type="dxa"/>
            <w:bottom w:w="0" w:type="dxa"/>
            <w:right w:w="108" w:type="dxa"/>
          </w:tblCellMar>
        </w:tblPrEx>
        <w:trPr>
          <w:gridAfter w:val="1"/>
          <w:wAfter w:w="66" w:type="dxa"/>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6</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售后服务2</w:t>
            </w:r>
            <w:r>
              <w:rPr>
                <w:rFonts w:hint="eastAsia" w:asciiTheme="minorEastAsia" w:hAnsiTheme="minorEastAsia" w:eastAsiaTheme="minorEastAsia" w:cstheme="minorEastAsia"/>
                <w:kern w:val="0"/>
                <w:sz w:val="20"/>
              </w:rPr>
              <w:br w:type="textWrapping"/>
            </w:r>
            <w:r>
              <w:rPr>
                <w:rFonts w:hint="eastAsia" w:asciiTheme="minorEastAsia" w:hAnsiTheme="minorEastAsia" w:eastAsiaTheme="minorEastAsia" w:cstheme="minorEastAsia"/>
                <w:w w:val="90"/>
                <w:kern w:val="0"/>
                <w:sz w:val="20"/>
              </w:rPr>
              <w:t>（响应时间）</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left"/>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维修响应时间≤2小时，维修到达现场时间≤24小时。</w:t>
            </w:r>
          </w:p>
        </w:tc>
        <w:tc>
          <w:tcPr>
            <w:tcW w:w="3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gridAfter w:val="1"/>
          <w:wAfter w:w="66" w:type="dxa"/>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7</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专用工具</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left"/>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描述应提供的配套专修工具和使用工具。</w:t>
            </w:r>
          </w:p>
        </w:tc>
        <w:tc>
          <w:tcPr>
            <w:tcW w:w="3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gridAfter w:val="1"/>
          <w:wAfter w:w="66" w:type="dxa"/>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8</w:t>
            </w:r>
          </w:p>
        </w:tc>
        <w:tc>
          <w:tcPr>
            <w:tcW w:w="109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知识产权</w:t>
            </w:r>
          </w:p>
        </w:tc>
        <w:tc>
          <w:tcPr>
            <w:tcW w:w="4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586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63" w:leftChars="-30" w:right="-63" w:rightChars="-30" w:firstLine="0" w:firstLineChars="0"/>
              <w:jc w:val="left"/>
              <w:textAlignment w:val="center"/>
              <w:outlineLvl w:val="9"/>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35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否</w:t>
            </w:r>
          </w:p>
        </w:tc>
        <w:tc>
          <w:tcPr>
            <w:tcW w:w="8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ind w:left="-105" w:leftChars="-50" w:right="-105" w:rightChars="-50" w:firstLine="0" w:firstLineChars="0"/>
              <w:jc w:val="center"/>
              <w:textAlignment w:val="center"/>
              <w:outlineLvl w:val="9"/>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23" w:hRule="atLeast"/>
        </w:trPr>
        <w:tc>
          <w:tcPr>
            <w:tcW w:w="9060" w:type="dxa"/>
            <w:gridSpan w:val="1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left="-105" w:leftChars="-50" w:right="-105" w:rightChars="-50" w:firstLine="0" w:firstLineChars="0"/>
              <w:jc w:val="center"/>
              <w:textAlignment w:val="center"/>
              <w:outlineLvl w:val="9"/>
              <w:rPr>
                <w:rFonts w:hint="eastAsia" w:ascii="黑体" w:hAnsi="黑体" w:eastAsia="黑体" w:cs="黑体"/>
                <w:color w:val="FF0000"/>
                <w:sz w:val="20"/>
              </w:rPr>
            </w:pPr>
            <w:r>
              <w:rPr>
                <w:rFonts w:hint="eastAsia" w:ascii="黑体" w:hAnsi="黑体" w:eastAsia="黑体" w:cs="黑体"/>
                <w:color w:val="FF0000"/>
                <w:kern w:val="0"/>
                <w:sz w:val="20"/>
              </w:rPr>
              <w:t>采购实施建议</w:t>
            </w:r>
          </w:p>
        </w:tc>
      </w:tr>
      <w:tr>
        <w:tblPrEx>
          <w:tblLayout w:type="fixed"/>
          <w:tblCellMar>
            <w:top w:w="0" w:type="dxa"/>
            <w:left w:w="108" w:type="dxa"/>
            <w:bottom w:w="0" w:type="dxa"/>
            <w:right w:w="108" w:type="dxa"/>
          </w:tblCellMar>
        </w:tblPrEx>
        <w:trPr>
          <w:trHeight w:val="23" w:hRule="atLeast"/>
        </w:trPr>
        <w:tc>
          <w:tcPr>
            <w:tcW w:w="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left="-105" w:leftChars="-50" w:right="-105" w:rightChars="-50" w:firstLine="0" w:firstLineChars="0"/>
              <w:jc w:val="center"/>
              <w:textAlignment w:val="center"/>
              <w:outlineLvl w:val="9"/>
              <w:rPr>
                <w:rFonts w:hint="eastAsia" w:asciiTheme="minorEastAsia" w:hAnsiTheme="minorEastAsia" w:eastAsiaTheme="minorEastAsia" w:cstheme="minorEastAsia"/>
                <w:color w:val="FF0000"/>
                <w:kern w:val="0"/>
                <w:sz w:val="20"/>
              </w:rPr>
            </w:pPr>
            <w:r>
              <w:rPr>
                <w:rFonts w:hint="eastAsia" w:asciiTheme="minorEastAsia" w:hAnsiTheme="minorEastAsia" w:eastAsiaTheme="minorEastAsia" w:cstheme="minorEastAsia"/>
                <w:color w:val="FF0000"/>
                <w:kern w:val="0"/>
                <w:sz w:val="20"/>
              </w:rPr>
              <w:t>3</w:t>
            </w:r>
          </w:p>
        </w:tc>
        <w:tc>
          <w:tcPr>
            <w:tcW w:w="150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left="-105" w:leftChars="-50" w:right="-105" w:rightChars="-50" w:firstLine="0" w:firstLineChars="0"/>
              <w:jc w:val="center"/>
              <w:textAlignment w:val="center"/>
              <w:outlineLvl w:val="9"/>
              <w:rPr>
                <w:rFonts w:hint="eastAsia" w:asciiTheme="minorEastAsia" w:hAnsiTheme="minorEastAsia" w:eastAsiaTheme="minorEastAsia" w:cstheme="minorEastAsia"/>
                <w:color w:val="FF0000"/>
                <w:kern w:val="0"/>
                <w:sz w:val="20"/>
              </w:rPr>
            </w:pPr>
            <w:r>
              <w:rPr>
                <w:rFonts w:hint="eastAsia" w:asciiTheme="minorEastAsia" w:hAnsiTheme="minorEastAsia" w:eastAsiaTheme="minorEastAsia" w:cstheme="minorEastAsia"/>
                <w:color w:val="FF0000"/>
                <w:kern w:val="0"/>
                <w:sz w:val="20"/>
              </w:rPr>
              <w:t>技术偏离要求</w:t>
            </w:r>
          </w:p>
        </w:tc>
        <w:tc>
          <w:tcPr>
            <w:tcW w:w="7143"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FF0000"/>
                <w:kern w:val="0"/>
                <w:sz w:val="20"/>
              </w:rPr>
            </w:pPr>
            <w:r>
              <w:rPr>
                <w:rFonts w:hint="eastAsia" w:asciiTheme="minorEastAsia" w:hAnsiTheme="minorEastAsia" w:eastAsiaTheme="minorEastAsia" w:cstheme="minorEastAsia"/>
                <w:color w:val="FF0000"/>
                <w:kern w:val="0"/>
                <w:sz w:val="20"/>
              </w:rPr>
              <w:t>▲标识的指标负偏离≥</w:t>
            </w:r>
            <w:r>
              <w:rPr>
                <w:rFonts w:hint="eastAsia" w:asciiTheme="minorEastAsia" w:hAnsiTheme="minorEastAsia" w:eastAsiaTheme="minorEastAsia" w:cstheme="minorEastAsia"/>
                <w:color w:val="FF0000"/>
                <w:kern w:val="0"/>
                <w:sz w:val="20"/>
                <w:lang w:val="en-US" w:eastAsia="zh-CN"/>
              </w:rPr>
              <w:t>5</w:t>
            </w:r>
            <w:r>
              <w:rPr>
                <w:rFonts w:hint="eastAsia" w:asciiTheme="minorEastAsia" w:hAnsiTheme="minorEastAsia" w:eastAsiaTheme="minorEastAsia" w:cstheme="minorEastAsia"/>
                <w:color w:val="FF0000"/>
                <w:kern w:val="0"/>
                <w:sz w:val="20"/>
              </w:rPr>
              <w:t>项，投标企业技术分值为0分</w:t>
            </w:r>
          </w:p>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Theme="minorEastAsia" w:hAnsiTheme="minorEastAsia" w:eastAsiaTheme="minorEastAsia" w:cstheme="minorEastAsia"/>
                <w:color w:val="FF0000"/>
                <w:kern w:val="0"/>
                <w:sz w:val="20"/>
              </w:rPr>
            </w:pPr>
            <w:r>
              <w:rPr>
                <w:rFonts w:hint="eastAsia" w:asciiTheme="minorEastAsia" w:hAnsiTheme="minorEastAsia" w:eastAsiaTheme="minorEastAsia" w:cstheme="minorEastAsia"/>
                <w:color w:val="FF0000"/>
                <w:kern w:val="0"/>
                <w:sz w:val="20"/>
              </w:rPr>
              <w:t>▲标识的指标和“无标识”指标负偏离≥</w:t>
            </w:r>
            <w:r>
              <w:rPr>
                <w:rFonts w:hint="eastAsia" w:asciiTheme="minorEastAsia" w:hAnsiTheme="minorEastAsia" w:eastAsiaTheme="minorEastAsia" w:cstheme="minorEastAsia"/>
                <w:color w:val="FF0000"/>
                <w:kern w:val="0"/>
                <w:sz w:val="20"/>
                <w:lang w:val="en-US" w:eastAsia="zh-CN"/>
              </w:rPr>
              <w:t>5</w:t>
            </w:r>
            <w:r>
              <w:rPr>
                <w:rFonts w:hint="eastAsia" w:asciiTheme="minorEastAsia" w:hAnsiTheme="minorEastAsia" w:eastAsiaTheme="minorEastAsia" w:cstheme="minorEastAsia"/>
                <w:color w:val="FF0000"/>
                <w:kern w:val="0"/>
                <w:sz w:val="20"/>
              </w:rPr>
              <w:t>项，投标企业技术分值为0分</w:t>
            </w:r>
          </w:p>
        </w:tc>
      </w:tr>
      <w:tr>
        <w:tblPrEx>
          <w:tblLayout w:type="fixed"/>
          <w:tblCellMar>
            <w:top w:w="0" w:type="dxa"/>
            <w:left w:w="108" w:type="dxa"/>
            <w:bottom w:w="0" w:type="dxa"/>
            <w:right w:w="108" w:type="dxa"/>
          </w:tblCellMar>
        </w:tblPrEx>
        <w:trPr>
          <w:trHeight w:val="23" w:hRule="atLeast"/>
        </w:trPr>
        <w:tc>
          <w:tcPr>
            <w:tcW w:w="9060" w:type="dxa"/>
            <w:gridSpan w:val="1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注：1.★指标为必须响应指标，任意一项不满足要求即做废标处理；</w:t>
            </w:r>
          </w:p>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400" w:firstLineChars="200"/>
              <w:jc w:val="left"/>
              <w:textAlignment w:val="center"/>
              <w:outlineLvl w:val="9"/>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kern w:val="0"/>
                <w:sz w:val="20"/>
                <w:szCs w:val="20"/>
              </w:rPr>
              <w:t>2.★及▲标识的指标，需逐条按备注要求提供证明材料，未明确的可由企业提供承诺；</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Wingdings 2">
    <w:panose1 w:val="050201020105070707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2MDNmZWU4NjQ4MTA3NzM2OGViMjMwMmM1ZTUxNmIifQ=="/>
  </w:docVars>
  <w:rsids>
    <w:rsidRoot w:val="0057596D"/>
    <w:rsid w:val="000D0770"/>
    <w:rsid w:val="0057596D"/>
    <w:rsid w:val="005B43BA"/>
    <w:rsid w:val="00603804"/>
    <w:rsid w:val="00A65834"/>
    <w:rsid w:val="00AF1FB5"/>
    <w:rsid w:val="00CF42B1"/>
    <w:rsid w:val="00D52AB8"/>
    <w:rsid w:val="0227482A"/>
    <w:rsid w:val="043A7939"/>
    <w:rsid w:val="0FE16971"/>
    <w:rsid w:val="11CF6A37"/>
    <w:rsid w:val="13210EB1"/>
    <w:rsid w:val="16045A8B"/>
    <w:rsid w:val="161023EB"/>
    <w:rsid w:val="1C6A23AC"/>
    <w:rsid w:val="1FD714FA"/>
    <w:rsid w:val="244E05E0"/>
    <w:rsid w:val="28295F5A"/>
    <w:rsid w:val="2DC13980"/>
    <w:rsid w:val="3C5C1379"/>
    <w:rsid w:val="42C25CD8"/>
    <w:rsid w:val="447A3710"/>
    <w:rsid w:val="59A67984"/>
    <w:rsid w:val="63865FB8"/>
    <w:rsid w:val="63914658"/>
    <w:rsid w:val="6844037D"/>
    <w:rsid w:val="71914A54"/>
    <w:rsid w:val="786A1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uiPriority w:val="0"/>
    <w:pPr>
      <w:spacing w:after="120"/>
    </w:pPr>
    <w:rPr>
      <w:rFonts w:ascii="Times New Roman" w:hAnsi="Times New Roman" w:eastAsia="宋体" w:cs="Times New Roman"/>
      <w:szCs w:val="24"/>
    </w:rPr>
  </w:style>
  <w:style w:type="paragraph" w:styleId="3">
    <w:name w:val="annotation text"/>
    <w:basedOn w:val="1"/>
    <w:uiPriority w:val="0"/>
    <w:pPr>
      <w:jc w:val="left"/>
    </w:p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8">
    <w:name w:val="font111"/>
    <w:basedOn w:val="5"/>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299</Words>
  <Characters>1709</Characters>
  <Lines>14</Lines>
  <Paragraphs>4</Paragraphs>
  <TotalTime>0</TotalTime>
  <ScaleCrop>false</ScaleCrop>
  <LinksUpToDate>false</LinksUpToDate>
  <CharactersWithSpaces>2004</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2024-03-07T12:45:00Z</dcterms:created>
  <dc:creator>DOCTOR</dc:creator>
  <cp:lastModifiedBy>admin</cp:lastModifiedBy>
  <cp:lastPrinted>2024-04-26T02:31:00Z</cp:lastPrinted>
  <dcterms:modified xsi:type="dcterms:W3CDTF">2025-02-18T02:28:16Z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y fmtid="{D5CDD505-2E9C-101B-9397-08002B2CF9AE}" pid="3" name="ICV">
    <vt:lpwstr>20905C70F9864ECE83BF830F8976158A_12</vt:lpwstr>
  </property>
</Properties>
</file>