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numPr>
          <w:ilvl w:val="0"/>
          <w:numId w:val="0"/>
        </w:numPr>
        <w:spacing w:before="0" w:after="0" w:line="560" w:lineRule="exact"/>
        <w:outlineLvl w:val="1"/>
        <w:rPr>
          <w:rFonts w:hint="eastAsia" w:ascii="黑体" w:hAnsi="黑体" w:cs="黑体"/>
          <w:b w:val="0"/>
          <w:color w:val="auto"/>
          <w:sz w:val="28"/>
          <w:szCs w:val="28"/>
          <w:highlight w:val="none"/>
        </w:rPr>
      </w:pPr>
      <w:bookmarkStart w:id="0" w:name="_Toc13618"/>
      <w:r>
        <w:rPr>
          <w:rFonts w:hint="eastAsia" w:ascii="黑体" w:hAnsi="黑体" w:cs="黑体"/>
          <w:b w:val="0"/>
          <w:color w:val="auto"/>
          <w:sz w:val="28"/>
          <w:szCs w:val="28"/>
          <w:highlight w:val="none"/>
          <w:lang w:eastAsia="zh-CN"/>
        </w:rPr>
        <w:t>二、</w:t>
      </w:r>
      <w:r>
        <w:rPr>
          <w:rFonts w:hint="eastAsia" w:ascii="黑体" w:hAnsi="黑体" w:cs="黑体"/>
          <w:b w:val="0"/>
          <w:color w:val="auto"/>
          <w:sz w:val="28"/>
          <w:szCs w:val="28"/>
          <w:highlight w:val="none"/>
        </w:rPr>
        <w:t>技术要求</w:t>
      </w:r>
      <w:bookmarkEnd w:id="0"/>
    </w:p>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0" w:firstLineChars="0"/>
        <w:jc w:val="left"/>
        <w:textAlignment w:val="center"/>
        <w:outlineLvl w:val="9"/>
        <w:rPr>
          <w:rFonts w:hint="eastAsia" w:ascii="等线" w:hAnsi="等线" w:eastAsia="等线" w:cs="等线"/>
          <w:i w:val="0"/>
          <w:color w:val="auto"/>
          <w:kern w:val="0"/>
          <w:sz w:val="20"/>
          <w:szCs w:val="20"/>
          <w:highlight w:val="none"/>
          <w:u w:val="none"/>
          <w:lang w:val="en-US" w:eastAsia="zh-CN" w:bidi="ar"/>
        </w:rPr>
      </w:pPr>
    </w:p>
    <w:tbl>
      <w:tblPr>
        <w:tblStyle w:val="4"/>
        <w:tblpPr w:leftFromText="180" w:rightFromText="180" w:vertAnchor="text" w:horzAnchor="page" w:tblpX="1409" w:tblpY="665"/>
        <w:tblOverlap w:val="never"/>
        <w:tblW w:w="0" w:type="auto"/>
        <w:tblInd w:w="0" w:type="dxa"/>
        <w:shd w:val="clear" w:color="auto" w:fill="auto"/>
        <w:tblLayout w:type="autofit"/>
        <w:tblCellMar>
          <w:top w:w="0" w:type="dxa"/>
          <w:left w:w="0" w:type="dxa"/>
          <w:bottom w:w="0" w:type="dxa"/>
          <w:right w:w="0" w:type="dxa"/>
        </w:tblCellMar>
      </w:tblPr>
      <w:tblGrid>
        <w:gridCol w:w="346"/>
        <w:gridCol w:w="1259"/>
        <w:gridCol w:w="826"/>
        <w:gridCol w:w="3803"/>
        <w:gridCol w:w="952"/>
        <w:gridCol w:w="1150"/>
      </w:tblGrid>
      <w:tr>
        <w:tblPrEx>
          <w:shd w:val="clear" w:color="auto" w:fill="auto"/>
          <w:tblCellMar>
            <w:top w:w="0" w:type="dxa"/>
            <w:left w:w="0" w:type="dxa"/>
            <w:bottom w:w="0" w:type="dxa"/>
            <w:right w:w="0" w:type="dxa"/>
          </w:tblCellMar>
        </w:tblPrEx>
        <w:trPr>
          <w:trHeight w:val="570" w:hRule="atLeast"/>
        </w:trPr>
        <w:tc>
          <w:tcPr>
            <w:tcW w:w="0" w:type="auto"/>
            <w:gridSpan w:val="6"/>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color w:val="000000"/>
                <w:sz w:val="44"/>
                <w:szCs w:val="44"/>
                <w:u w:val="none"/>
              </w:rPr>
            </w:pPr>
            <w:r>
              <w:rPr>
                <w:rFonts w:hint="eastAsia" w:ascii="方正小标宋简体" w:hAnsi="方正小标宋简体" w:eastAsia="方正小标宋简体" w:cs="方正小标宋简体"/>
                <w:i w:val="0"/>
                <w:color w:val="000000"/>
                <w:kern w:val="0"/>
                <w:sz w:val="44"/>
                <w:szCs w:val="44"/>
                <w:u w:val="none"/>
                <w:lang w:val="en-US" w:eastAsia="zh-CN" w:bidi="ar"/>
              </w:rPr>
              <w:t>采购需求表（物资类）</w:t>
            </w:r>
          </w:p>
        </w:tc>
      </w:tr>
      <w:tr>
        <w:tblPrEx>
          <w:tblCellMar>
            <w:top w:w="0" w:type="dxa"/>
            <w:left w:w="0" w:type="dxa"/>
            <w:bottom w:w="0" w:type="dxa"/>
            <w:right w:w="0" w:type="dxa"/>
          </w:tblCellMar>
        </w:tblPrEx>
        <w:trPr>
          <w:trHeight w:val="840" w:hRule="atLeast"/>
        </w:trPr>
        <w:tc>
          <w:tcPr>
            <w:tcW w:w="17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项目名称</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心脏脉冲电场消融仪</w:t>
            </w:r>
          </w:p>
        </w:tc>
        <w:tc>
          <w:tcPr>
            <w:tcW w:w="4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最高限价（万元）</w:t>
            </w:r>
          </w:p>
        </w:tc>
        <w:tc>
          <w:tcPr>
            <w:tcW w:w="233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40</w:t>
            </w:r>
          </w:p>
        </w:tc>
      </w:tr>
      <w:tr>
        <w:tblPrEx>
          <w:tblCellMar>
            <w:top w:w="0" w:type="dxa"/>
            <w:left w:w="0" w:type="dxa"/>
            <w:bottom w:w="0" w:type="dxa"/>
            <w:right w:w="0" w:type="dxa"/>
          </w:tblCellMar>
        </w:tblPrEx>
        <w:trPr>
          <w:trHeight w:val="8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序号</w:t>
            </w:r>
          </w:p>
        </w:tc>
        <w:tc>
          <w:tcPr>
            <w:tcW w:w="13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需求名称</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参数性质</w:t>
            </w:r>
          </w:p>
        </w:tc>
        <w:tc>
          <w:tcPr>
            <w:tcW w:w="4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需求具体内容</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是否量化</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备注（证明材料等其他要求）</w:t>
            </w:r>
          </w:p>
        </w:tc>
      </w:tr>
      <w:tr>
        <w:tblPrEx>
          <w:tblCellMar>
            <w:top w:w="0" w:type="dxa"/>
            <w:left w:w="0" w:type="dxa"/>
            <w:bottom w:w="0" w:type="dxa"/>
            <w:right w:w="0" w:type="dxa"/>
          </w:tblCellMar>
        </w:tblPrEx>
        <w:trPr>
          <w:trHeight w:val="360" w:hRule="atLeast"/>
        </w:trPr>
        <w:tc>
          <w:tcPr>
            <w:tcW w:w="0" w:type="auto"/>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技术要求</w:t>
            </w:r>
          </w:p>
        </w:tc>
      </w:tr>
      <w:tr>
        <w:tblPrEx>
          <w:tblCellMar>
            <w:top w:w="0" w:type="dxa"/>
            <w:left w:w="0" w:type="dxa"/>
            <w:bottom w:w="0" w:type="dxa"/>
            <w:right w:w="0" w:type="dxa"/>
          </w:tblCellMar>
        </w:tblPrEx>
        <w:trPr>
          <w:trHeight w:val="10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w:t>
            </w:r>
          </w:p>
        </w:tc>
        <w:tc>
          <w:tcPr>
            <w:tcW w:w="13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基本要求</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4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通过控制、释放适当强度的脉冲电场能量，有选择性地对需要治疗的病灶部位的心肌细胞产生不可逆的电穿孔损伤，从而达到治疗房颤的目的</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产品彩页、说明书或技术白皮书</w:t>
            </w:r>
          </w:p>
        </w:tc>
      </w:tr>
      <w:tr>
        <w:tblPrEx>
          <w:tblCellMar>
            <w:top w:w="0" w:type="dxa"/>
            <w:left w:w="0" w:type="dxa"/>
            <w:bottom w:w="0" w:type="dxa"/>
            <w:right w:w="0" w:type="dxa"/>
          </w:tblCellMar>
        </w:tblPrEx>
        <w:trPr>
          <w:trHeight w:val="9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w:t>
            </w:r>
          </w:p>
        </w:tc>
        <w:tc>
          <w:tcPr>
            <w:tcW w:w="13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资质认证</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4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具备NMPA（CFDA）认证</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认证材料</w:t>
            </w:r>
          </w:p>
        </w:tc>
      </w:tr>
      <w:tr>
        <w:tblPrEx>
          <w:tblCellMar>
            <w:top w:w="0" w:type="dxa"/>
            <w:left w:w="0" w:type="dxa"/>
            <w:bottom w:w="0" w:type="dxa"/>
            <w:right w:w="0" w:type="dxa"/>
          </w:tblCellMar>
        </w:tblPrEx>
        <w:trPr>
          <w:trHeight w:val="73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3</w:t>
            </w:r>
          </w:p>
        </w:tc>
        <w:tc>
          <w:tcPr>
            <w:tcW w:w="13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电击防护</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4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I类设备，CF型，具备防除颤功能，除颤恢复时间小于5s；</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CellMar>
            <w:top w:w="0" w:type="dxa"/>
            <w:left w:w="0" w:type="dxa"/>
            <w:bottom w:w="0" w:type="dxa"/>
            <w:right w:w="0" w:type="dxa"/>
          </w:tblCellMar>
        </w:tblPrEx>
        <w:trPr>
          <w:trHeight w:val="73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4</w:t>
            </w:r>
          </w:p>
        </w:tc>
        <w:tc>
          <w:tcPr>
            <w:tcW w:w="13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脉冲波形</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4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双相双极波形，具有组间正、负双方向放电功能</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CellMar>
            <w:top w:w="0" w:type="dxa"/>
            <w:left w:w="0" w:type="dxa"/>
            <w:bottom w:w="0" w:type="dxa"/>
            <w:right w:w="0" w:type="dxa"/>
          </w:tblCellMar>
        </w:tblPrEx>
        <w:trPr>
          <w:trHeight w:val="73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5</w:t>
            </w:r>
          </w:p>
        </w:tc>
        <w:tc>
          <w:tcPr>
            <w:tcW w:w="13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最高脉冲幅度</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4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≥1600V</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否</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CellMar>
            <w:top w:w="0" w:type="dxa"/>
            <w:left w:w="0" w:type="dxa"/>
            <w:bottom w:w="0" w:type="dxa"/>
            <w:right w:w="0" w:type="dxa"/>
          </w:tblCellMar>
        </w:tblPrEx>
        <w:trPr>
          <w:trHeight w:val="73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6</w:t>
            </w:r>
          </w:p>
        </w:tc>
        <w:tc>
          <w:tcPr>
            <w:tcW w:w="13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输出电极通道</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4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可配置的输出电极通道数量为≥20路</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否</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CellMar>
            <w:top w:w="0" w:type="dxa"/>
            <w:left w:w="0" w:type="dxa"/>
            <w:bottom w:w="0" w:type="dxa"/>
            <w:right w:w="0" w:type="dxa"/>
          </w:tblCellMar>
        </w:tblPrEx>
        <w:trPr>
          <w:trHeight w:val="73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7</w:t>
            </w:r>
          </w:p>
        </w:tc>
        <w:tc>
          <w:tcPr>
            <w:tcW w:w="13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脉冲能量</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4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根据不同导管类型，脉冲能量多档位自适应可调</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否</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CellMar>
            <w:top w:w="0" w:type="dxa"/>
            <w:left w:w="0" w:type="dxa"/>
            <w:bottom w:w="0" w:type="dxa"/>
            <w:right w:w="0" w:type="dxa"/>
          </w:tblCellMar>
        </w:tblPrEx>
        <w:trPr>
          <w:trHeight w:val="73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8</w:t>
            </w:r>
          </w:p>
        </w:tc>
        <w:tc>
          <w:tcPr>
            <w:tcW w:w="13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脉冲消融方式</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4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具备单串模式和多串模式可调</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否</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CellMar>
            <w:top w:w="0" w:type="dxa"/>
            <w:left w:w="0" w:type="dxa"/>
            <w:bottom w:w="0" w:type="dxa"/>
            <w:right w:w="0" w:type="dxa"/>
          </w:tblCellMar>
        </w:tblPrEx>
        <w:trPr>
          <w:trHeight w:val="73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9</w:t>
            </w:r>
          </w:p>
        </w:tc>
        <w:tc>
          <w:tcPr>
            <w:tcW w:w="13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参数预设功能</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4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具备预设功能，模式≥6组。</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否</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CellMar>
            <w:top w:w="0" w:type="dxa"/>
            <w:left w:w="0" w:type="dxa"/>
            <w:bottom w:w="0" w:type="dxa"/>
            <w:right w:w="0" w:type="dxa"/>
          </w:tblCellMar>
        </w:tblPrEx>
        <w:trPr>
          <w:trHeight w:val="73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10</w:t>
            </w:r>
          </w:p>
        </w:tc>
        <w:tc>
          <w:tcPr>
            <w:tcW w:w="13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电极组织贴靠的检测模块</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r>
              <w:rPr>
                <w:rFonts w:hint="eastAsia" w:ascii="宋体" w:hAnsi="宋体" w:eastAsia="宋体" w:cs="宋体"/>
                <w:i w:val="0"/>
                <w:color w:val="000000"/>
                <w:sz w:val="20"/>
                <w:szCs w:val="20"/>
                <w:u w:val="none"/>
              </w:rPr>
              <w:t>▲</w:t>
            </w:r>
          </w:p>
        </w:tc>
        <w:tc>
          <w:tcPr>
            <w:tcW w:w="4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脉冲仪具备电极组织贴靠的检测模块，可在脉冲仪界面显示导管组织的贴靠状态。</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否</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产品彩页、说明书或技术白皮书</w:t>
            </w:r>
          </w:p>
        </w:tc>
      </w:tr>
      <w:tr>
        <w:tblPrEx>
          <w:tblCellMar>
            <w:top w:w="0" w:type="dxa"/>
            <w:left w:w="0" w:type="dxa"/>
            <w:bottom w:w="0" w:type="dxa"/>
            <w:right w:w="0" w:type="dxa"/>
          </w:tblCellMar>
        </w:tblPrEx>
        <w:trPr>
          <w:trHeight w:val="73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11</w:t>
            </w:r>
          </w:p>
        </w:tc>
        <w:tc>
          <w:tcPr>
            <w:tcW w:w="13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放电模式</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4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仅贴靠的电极放电、自定义电极对的放电、全电极的放电。并可以选择任意两个电极组成电极对放电。</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否</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CellMar>
            <w:top w:w="0" w:type="dxa"/>
            <w:left w:w="0" w:type="dxa"/>
            <w:bottom w:w="0" w:type="dxa"/>
            <w:right w:w="0" w:type="dxa"/>
          </w:tblCellMar>
        </w:tblPrEx>
        <w:trPr>
          <w:trHeight w:val="73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12</w:t>
            </w:r>
          </w:p>
        </w:tc>
        <w:tc>
          <w:tcPr>
            <w:tcW w:w="13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消融时R波同步功能</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4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具备R波同步功能</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否</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CellMar>
            <w:top w:w="0" w:type="dxa"/>
            <w:left w:w="0" w:type="dxa"/>
            <w:bottom w:w="0" w:type="dxa"/>
            <w:right w:w="0" w:type="dxa"/>
          </w:tblCellMar>
        </w:tblPrEx>
        <w:trPr>
          <w:trHeight w:val="73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13</w:t>
            </w:r>
          </w:p>
        </w:tc>
        <w:tc>
          <w:tcPr>
            <w:tcW w:w="13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消融时起搏同步功能</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4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具备起搏同步功能</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否</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CellMar>
            <w:top w:w="0" w:type="dxa"/>
            <w:left w:w="0" w:type="dxa"/>
            <w:bottom w:w="0" w:type="dxa"/>
            <w:right w:w="0" w:type="dxa"/>
          </w:tblCellMar>
        </w:tblPrEx>
        <w:trPr>
          <w:trHeight w:val="73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14</w:t>
            </w:r>
          </w:p>
        </w:tc>
        <w:tc>
          <w:tcPr>
            <w:tcW w:w="13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输出通路检测功能</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4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输出通路出现异常（如短路、开路）自动切断</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否</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CellMar>
            <w:top w:w="0" w:type="dxa"/>
            <w:left w:w="0" w:type="dxa"/>
            <w:bottom w:w="0" w:type="dxa"/>
            <w:right w:w="0" w:type="dxa"/>
          </w:tblCellMar>
        </w:tblPrEx>
        <w:trPr>
          <w:trHeight w:val="73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15</w:t>
            </w:r>
          </w:p>
        </w:tc>
        <w:tc>
          <w:tcPr>
            <w:tcW w:w="13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2"/>
                <w:sz w:val="20"/>
                <w:szCs w:val="20"/>
                <w:u w:val="none"/>
                <w:lang w:val="en-US" w:eastAsia="zh-CN" w:bidi="ar-SA"/>
              </w:rPr>
            </w:pPr>
            <w:r>
              <w:rPr>
                <w:rFonts w:hint="eastAsia" w:ascii="黑体" w:hAnsi="宋体" w:eastAsia="黑体" w:cs="黑体"/>
                <w:i w:val="0"/>
                <w:color w:val="000000"/>
                <w:kern w:val="0"/>
                <w:sz w:val="20"/>
                <w:szCs w:val="20"/>
                <w:u w:val="none"/>
                <w:lang w:val="en-US" w:eastAsia="zh-CN" w:bidi="ar"/>
              </w:rPr>
              <w:t>脉冲能量输出干扰</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kern w:val="2"/>
                <w:sz w:val="20"/>
                <w:szCs w:val="20"/>
                <w:u w:val="none"/>
                <w:lang w:val="en-US" w:eastAsia="zh-CN" w:bidi="ar-SA"/>
              </w:rPr>
            </w:pPr>
          </w:p>
        </w:tc>
        <w:tc>
          <w:tcPr>
            <w:tcW w:w="4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2"/>
                <w:sz w:val="20"/>
                <w:szCs w:val="20"/>
                <w:u w:val="none"/>
                <w:lang w:val="en-US" w:eastAsia="zh-CN" w:bidi="ar-SA"/>
              </w:rPr>
            </w:pPr>
            <w:r>
              <w:rPr>
                <w:rFonts w:hint="eastAsia" w:ascii="黑体" w:hAnsi="宋体" w:eastAsia="黑体" w:cs="黑体"/>
                <w:i w:val="0"/>
                <w:color w:val="000000"/>
                <w:kern w:val="0"/>
                <w:sz w:val="20"/>
                <w:szCs w:val="20"/>
                <w:u w:val="none"/>
                <w:lang w:val="en-US" w:eastAsia="zh-CN" w:bidi="ar"/>
              </w:rPr>
              <w:t>能量输出过程中，不影响正常的心电信号实时监测</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否</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CellMar>
            <w:top w:w="0" w:type="dxa"/>
            <w:left w:w="0" w:type="dxa"/>
            <w:bottom w:w="0" w:type="dxa"/>
            <w:right w:w="0" w:type="dxa"/>
          </w:tblCellMar>
        </w:tblPrEx>
        <w:trPr>
          <w:trHeight w:val="73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16</w:t>
            </w:r>
          </w:p>
        </w:tc>
        <w:tc>
          <w:tcPr>
            <w:tcW w:w="13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适配脉冲消融导管</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r>
              <w:rPr>
                <w:rFonts w:hint="eastAsia" w:ascii="宋体" w:hAnsi="宋体" w:eastAsia="宋体" w:cs="宋体"/>
                <w:i w:val="0"/>
                <w:color w:val="000000"/>
                <w:sz w:val="20"/>
                <w:szCs w:val="20"/>
                <w:u w:val="none"/>
              </w:rPr>
              <w:t>▲</w:t>
            </w:r>
          </w:p>
        </w:tc>
        <w:tc>
          <w:tcPr>
            <w:tcW w:w="4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可适配线型、环型多种脉冲消融导管</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否</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lang w:eastAsia="zh-CN"/>
              </w:rPr>
            </w:pPr>
            <w:r>
              <w:rPr>
                <w:rFonts w:hint="eastAsia" w:ascii="黑体" w:hAnsi="宋体" w:eastAsia="黑体" w:cs="黑体"/>
                <w:i w:val="0"/>
                <w:color w:val="000000"/>
                <w:sz w:val="20"/>
                <w:szCs w:val="20"/>
                <w:u w:val="none"/>
                <w:lang w:eastAsia="zh-CN"/>
              </w:rPr>
              <w:t>注册证</w:t>
            </w:r>
          </w:p>
        </w:tc>
      </w:tr>
      <w:tr>
        <w:tblPrEx>
          <w:tblCellMar>
            <w:top w:w="0" w:type="dxa"/>
            <w:left w:w="0" w:type="dxa"/>
            <w:bottom w:w="0" w:type="dxa"/>
            <w:right w:w="0" w:type="dxa"/>
          </w:tblCellMar>
        </w:tblPrEx>
        <w:trPr>
          <w:trHeight w:val="73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17</w:t>
            </w:r>
          </w:p>
        </w:tc>
        <w:tc>
          <w:tcPr>
            <w:tcW w:w="13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导管识别功能</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4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自动识别插入导管并在主界面显示导管类型及形态。</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否</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CellMar>
            <w:top w:w="0" w:type="dxa"/>
            <w:left w:w="0" w:type="dxa"/>
            <w:bottom w:w="0" w:type="dxa"/>
            <w:right w:w="0" w:type="dxa"/>
          </w:tblCellMar>
        </w:tblPrEx>
        <w:trPr>
          <w:trHeight w:val="73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18</w:t>
            </w:r>
          </w:p>
        </w:tc>
        <w:tc>
          <w:tcPr>
            <w:tcW w:w="13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2"/>
                <w:sz w:val="20"/>
                <w:szCs w:val="20"/>
                <w:u w:val="none"/>
                <w:lang w:val="en-US" w:eastAsia="zh-CN" w:bidi="ar-SA"/>
              </w:rPr>
            </w:pPr>
            <w:r>
              <w:rPr>
                <w:rFonts w:hint="eastAsia" w:ascii="黑体" w:hAnsi="宋体" w:eastAsia="黑体" w:cs="黑体"/>
                <w:i w:val="0"/>
                <w:color w:val="000000"/>
                <w:kern w:val="0"/>
                <w:sz w:val="20"/>
                <w:szCs w:val="20"/>
                <w:u w:val="none"/>
                <w:lang w:val="en-US" w:eastAsia="zh-CN" w:bidi="ar"/>
              </w:rPr>
              <w:t>脉冲多电极同时消融功能</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kern w:val="2"/>
                <w:sz w:val="20"/>
                <w:szCs w:val="20"/>
                <w:u w:val="none"/>
                <w:lang w:val="en-US" w:eastAsia="zh-CN" w:bidi="ar-SA"/>
              </w:rPr>
            </w:pPr>
          </w:p>
        </w:tc>
        <w:tc>
          <w:tcPr>
            <w:tcW w:w="4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2"/>
                <w:sz w:val="20"/>
                <w:szCs w:val="20"/>
                <w:u w:val="none"/>
                <w:lang w:val="en-US" w:eastAsia="zh-CN" w:bidi="ar-SA"/>
              </w:rPr>
            </w:pPr>
            <w:r>
              <w:rPr>
                <w:rFonts w:hint="eastAsia" w:ascii="黑体" w:hAnsi="宋体" w:eastAsia="黑体" w:cs="黑体"/>
                <w:i w:val="0"/>
                <w:color w:val="000000"/>
                <w:kern w:val="0"/>
                <w:sz w:val="20"/>
                <w:szCs w:val="20"/>
                <w:u w:val="none"/>
                <w:lang w:val="en-US" w:eastAsia="zh-CN" w:bidi="ar"/>
              </w:rPr>
              <w:t>具备脉冲多极同时消融，选择相邻任意两个电极间单独消融功能</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否</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CellMar>
            <w:top w:w="0" w:type="dxa"/>
            <w:left w:w="0" w:type="dxa"/>
            <w:bottom w:w="0" w:type="dxa"/>
            <w:right w:w="0" w:type="dxa"/>
          </w:tblCellMar>
        </w:tblPrEx>
        <w:trPr>
          <w:trHeight w:val="73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19</w:t>
            </w:r>
          </w:p>
        </w:tc>
        <w:tc>
          <w:tcPr>
            <w:tcW w:w="13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2"/>
                <w:sz w:val="20"/>
                <w:szCs w:val="20"/>
                <w:u w:val="none"/>
                <w:lang w:val="en-US" w:eastAsia="zh-CN" w:bidi="ar-SA"/>
              </w:rPr>
            </w:pPr>
            <w:r>
              <w:rPr>
                <w:rFonts w:hint="eastAsia" w:ascii="黑体" w:hAnsi="宋体" w:eastAsia="黑体" w:cs="黑体"/>
                <w:i w:val="0"/>
                <w:color w:val="000000"/>
                <w:kern w:val="0"/>
                <w:sz w:val="20"/>
                <w:szCs w:val="20"/>
                <w:u w:val="none"/>
                <w:lang w:val="en-US" w:eastAsia="zh-CN" w:bidi="ar"/>
              </w:rPr>
              <w:t>脉冲导管管身</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kern w:val="2"/>
                <w:sz w:val="20"/>
                <w:szCs w:val="20"/>
                <w:u w:val="none"/>
                <w:lang w:val="en-US" w:eastAsia="zh-CN" w:bidi="ar-SA"/>
              </w:rPr>
            </w:pPr>
          </w:p>
        </w:tc>
        <w:tc>
          <w:tcPr>
            <w:tcW w:w="4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2"/>
                <w:sz w:val="20"/>
                <w:szCs w:val="20"/>
                <w:u w:val="none"/>
                <w:lang w:val="en-US" w:eastAsia="zh-CN" w:bidi="ar-SA"/>
              </w:rPr>
            </w:pPr>
            <w:r>
              <w:rPr>
                <w:rFonts w:hint="eastAsia" w:ascii="黑体" w:hAnsi="宋体" w:eastAsia="黑体" w:cs="黑体"/>
                <w:i w:val="0"/>
                <w:color w:val="000000"/>
                <w:kern w:val="0"/>
                <w:sz w:val="20"/>
                <w:szCs w:val="20"/>
                <w:u w:val="none"/>
                <w:lang w:val="en-US" w:eastAsia="zh-CN" w:bidi="ar"/>
              </w:rPr>
              <w:t>脉冲导管高扭矩管身，可调弯段的弯曲通过近端手柄进行控制</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否</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CellMar>
            <w:top w:w="0" w:type="dxa"/>
            <w:left w:w="0" w:type="dxa"/>
            <w:bottom w:w="0" w:type="dxa"/>
            <w:right w:w="0" w:type="dxa"/>
          </w:tblCellMar>
        </w:tblPrEx>
        <w:trPr>
          <w:trHeight w:val="73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20</w:t>
            </w:r>
          </w:p>
        </w:tc>
        <w:tc>
          <w:tcPr>
            <w:tcW w:w="13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2"/>
                <w:sz w:val="20"/>
                <w:szCs w:val="20"/>
                <w:u w:val="none"/>
                <w:lang w:val="en-US" w:eastAsia="zh-CN" w:bidi="ar-SA"/>
              </w:rPr>
            </w:pPr>
            <w:r>
              <w:rPr>
                <w:rFonts w:hint="eastAsia" w:ascii="黑体" w:hAnsi="宋体" w:eastAsia="黑体" w:cs="黑体"/>
                <w:i w:val="0"/>
                <w:color w:val="000000"/>
                <w:kern w:val="0"/>
                <w:sz w:val="20"/>
                <w:szCs w:val="20"/>
                <w:u w:val="none"/>
                <w:lang w:val="en-US" w:eastAsia="zh-CN" w:bidi="ar"/>
              </w:rPr>
              <w:t>导管定位功能</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kern w:val="2"/>
                <w:sz w:val="20"/>
                <w:szCs w:val="20"/>
                <w:u w:val="none"/>
                <w:lang w:val="en-US" w:eastAsia="zh-CN" w:bidi="ar-SA"/>
              </w:rPr>
            </w:pPr>
            <w:r>
              <w:rPr>
                <w:rFonts w:hint="eastAsia" w:ascii="宋体" w:hAnsi="宋体" w:eastAsia="宋体" w:cs="宋体"/>
                <w:i w:val="0"/>
                <w:color w:val="000000"/>
                <w:sz w:val="20"/>
                <w:szCs w:val="20"/>
                <w:u w:val="none"/>
              </w:rPr>
              <w:t>▲</w:t>
            </w:r>
          </w:p>
        </w:tc>
        <w:tc>
          <w:tcPr>
            <w:tcW w:w="4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2"/>
                <w:sz w:val="20"/>
                <w:szCs w:val="20"/>
                <w:u w:val="none"/>
                <w:lang w:val="en-US" w:eastAsia="zh-CN" w:bidi="ar-SA"/>
              </w:rPr>
            </w:pPr>
            <w:r>
              <w:rPr>
                <w:rFonts w:hint="eastAsia" w:ascii="黑体" w:hAnsi="宋体" w:eastAsia="黑体" w:cs="黑体"/>
                <w:i w:val="0"/>
                <w:color w:val="000000"/>
                <w:kern w:val="0"/>
                <w:sz w:val="20"/>
                <w:szCs w:val="20"/>
                <w:u w:val="none"/>
                <w:lang w:val="en-US" w:eastAsia="zh-CN" w:bidi="ar"/>
              </w:rPr>
              <w:t>远端多个磁定位传感器，与心脏电生理三维标测系统配合使用，提供导管在心腔内的位置信息以及电生理标测和三维建模</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否</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产品彩页、说明书或技术白皮书</w:t>
            </w:r>
          </w:p>
        </w:tc>
      </w:tr>
      <w:tr>
        <w:tblPrEx>
          <w:tblCellMar>
            <w:top w:w="0" w:type="dxa"/>
            <w:left w:w="0" w:type="dxa"/>
            <w:bottom w:w="0" w:type="dxa"/>
            <w:right w:w="0" w:type="dxa"/>
          </w:tblCellMar>
        </w:tblPrEx>
        <w:trPr>
          <w:trHeight w:val="73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21</w:t>
            </w:r>
          </w:p>
        </w:tc>
        <w:tc>
          <w:tcPr>
            <w:tcW w:w="13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2"/>
                <w:sz w:val="20"/>
                <w:szCs w:val="20"/>
                <w:u w:val="none"/>
                <w:lang w:val="en-US" w:eastAsia="zh-CN" w:bidi="ar-SA"/>
              </w:rPr>
            </w:pPr>
            <w:r>
              <w:rPr>
                <w:rFonts w:hint="eastAsia" w:ascii="黑体" w:hAnsi="宋体" w:eastAsia="黑体" w:cs="黑体"/>
                <w:i w:val="0"/>
                <w:color w:val="000000"/>
                <w:kern w:val="0"/>
                <w:sz w:val="20"/>
                <w:szCs w:val="20"/>
                <w:u w:val="none"/>
                <w:lang w:val="en-US" w:eastAsia="zh-CN" w:bidi="ar"/>
              </w:rPr>
              <w:t>脉冲回路自检</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kern w:val="2"/>
                <w:sz w:val="20"/>
                <w:szCs w:val="20"/>
                <w:u w:val="none"/>
                <w:lang w:val="en-US" w:eastAsia="zh-CN" w:bidi="ar-SA"/>
              </w:rPr>
            </w:pPr>
          </w:p>
        </w:tc>
        <w:tc>
          <w:tcPr>
            <w:tcW w:w="4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2"/>
                <w:sz w:val="20"/>
                <w:szCs w:val="20"/>
                <w:u w:val="none"/>
                <w:lang w:val="en-US" w:eastAsia="zh-CN" w:bidi="ar-SA"/>
              </w:rPr>
            </w:pPr>
            <w:r>
              <w:rPr>
                <w:rFonts w:hint="eastAsia" w:ascii="黑体" w:hAnsi="宋体" w:eastAsia="黑体" w:cs="黑体"/>
                <w:i w:val="0"/>
                <w:color w:val="000000"/>
                <w:kern w:val="0"/>
                <w:sz w:val="20"/>
                <w:szCs w:val="20"/>
                <w:u w:val="none"/>
                <w:lang w:val="en-US" w:eastAsia="zh-CN" w:bidi="ar"/>
              </w:rPr>
              <w:t>具备脉冲回路自检功能，保证每次消融的安全性</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否</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CellMar>
            <w:top w:w="0" w:type="dxa"/>
            <w:left w:w="0" w:type="dxa"/>
            <w:bottom w:w="0" w:type="dxa"/>
            <w:right w:w="0" w:type="dxa"/>
          </w:tblCellMar>
        </w:tblPrEx>
        <w:trPr>
          <w:trHeight w:val="73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22</w:t>
            </w:r>
          </w:p>
        </w:tc>
        <w:tc>
          <w:tcPr>
            <w:tcW w:w="13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2"/>
                <w:sz w:val="20"/>
                <w:szCs w:val="20"/>
                <w:u w:val="none"/>
                <w:lang w:val="en-US" w:eastAsia="zh-CN" w:bidi="ar-SA"/>
              </w:rPr>
            </w:pPr>
            <w:r>
              <w:rPr>
                <w:rFonts w:hint="eastAsia" w:ascii="黑体" w:hAnsi="宋体" w:eastAsia="黑体" w:cs="黑体"/>
                <w:i w:val="0"/>
                <w:color w:val="000000"/>
                <w:kern w:val="0"/>
                <w:sz w:val="20"/>
                <w:szCs w:val="20"/>
                <w:u w:val="none"/>
                <w:lang w:val="en-US" w:eastAsia="zh-CN" w:bidi="ar"/>
              </w:rPr>
              <w:t>脉冲消融导管</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kern w:val="2"/>
                <w:sz w:val="20"/>
                <w:szCs w:val="20"/>
                <w:u w:val="none"/>
                <w:lang w:val="en-US" w:eastAsia="zh-CN" w:bidi="ar-SA"/>
              </w:rPr>
            </w:pPr>
          </w:p>
        </w:tc>
        <w:tc>
          <w:tcPr>
            <w:tcW w:w="4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2"/>
                <w:sz w:val="20"/>
                <w:szCs w:val="20"/>
                <w:u w:val="none"/>
                <w:lang w:val="en-US" w:eastAsia="zh-CN" w:bidi="ar-SA"/>
              </w:rPr>
            </w:pPr>
            <w:r>
              <w:rPr>
                <w:rFonts w:hint="eastAsia" w:ascii="黑体" w:hAnsi="宋体" w:eastAsia="黑体" w:cs="黑体"/>
                <w:i w:val="0"/>
                <w:color w:val="000000"/>
                <w:kern w:val="0"/>
                <w:sz w:val="20"/>
                <w:szCs w:val="20"/>
                <w:u w:val="none"/>
                <w:lang w:val="en-US" w:eastAsia="zh-CN" w:bidi="ar"/>
              </w:rPr>
              <w:t>脉冲消融导管可建模，可标测，可消融，可起搏</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否</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CellMar>
            <w:top w:w="0" w:type="dxa"/>
            <w:left w:w="0" w:type="dxa"/>
            <w:bottom w:w="0" w:type="dxa"/>
            <w:right w:w="0" w:type="dxa"/>
          </w:tblCellMar>
        </w:tblPrEx>
        <w:trPr>
          <w:trHeight w:val="73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23</w:t>
            </w:r>
          </w:p>
        </w:tc>
        <w:tc>
          <w:tcPr>
            <w:tcW w:w="13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压力监测模块</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r>
              <w:rPr>
                <w:rFonts w:hint="eastAsia" w:ascii="宋体" w:hAnsi="宋体" w:eastAsia="宋体" w:cs="宋体"/>
                <w:i w:val="0"/>
                <w:color w:val="000000"/>
                <w:sz w:val="20"/>
                <w:szCs w:val="20"/>
                <w:u w:val="none"/>
              </w:rPr>
              <w:t>▲</w:t>
            </w:r>
          </w:p>
        </w:tc>
        <w:tc>
          <w:tcPr>
            <w:tcW w:w="4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脉冲仪具备压力监测模块，开在脉冲仪界面显示导管组织的贴靠状态。</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否</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产品彩页、说明书或技术白皮书</w:t>
            </w:r>
          </w:p>
        </w:tc>
      </w:tr>
      <w:tr>
        <w:tblPrEx>
          <w:tblCellMar>
            <w:top w:w="0" w:type="dxa"/>
            <w:left w:w="0" w:type="dxa"/>
            <w:bottom w:w="0" w:type="dxa"/>
            <w:right w:w="0" w:type="dxa"/>
          </w:tblCellMar>
        </w:tblPrEx>
        <w:trPr>
          <w:trHeight w:val="73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sz w:val="20"/>
                <w:szCs w:val="20"/>
                <w:u w:val="none"/>
                <w:lang w:val="en-US" w:eastAsia="zh-CN"/>
              </w:rPr>
            </w:pPr>
            <w:r>
              <w:rPr>
                <w:rFonts w:hint="eastAsia" w:ascii="黑体" w:hAnsi="宋体" w:eastAsia="黑体" w:cs="黑体"/>
                <w:i w:val="0"/>
                <w:color w:val="000000"/>
                <w:sz w:val="20"/>
                <w:szCs w:val="20"/>
                <w:u w:val="none"/>
                <w:lang w:val="en-US" w:eastAsia="zh-CN"/>
              </w:rPr>
              <w:t>24</w:t>
            </w:r>
          </w:p>
        </w:tc>
        <w:tc>
          <w:tcPr>
            <w:tcW w:w="13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脉冲仪界面显示</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r>
              <w:rPr>
                <w:rFonts w:hint="eastAsia" w:ascii="宋体" w:hAnsi="宋体" w:eastAsia="宋体" w:cs="宋体"/>
                <w:i w:val="0"/>
                <w:color w:val="000000"/>
                <w:sz w:val="20"/>
                <w:szCs w:val="20"/>
                <w:u w:val="none"/>
              </w:rPr>
              <w:t>▲</w:t>
            </w:r>
          </w:p>
        </w:tc>
        <w:tc>
          <w:tcPr>
            <w:tcW w:w="4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黑体" w:hAnsi="宋体" w:eastAsia="黑体" w:cs="黑体"/>
                <w:i w:val="0"/>
                <w:color w:val="000000"/>
                <w:sz w:val="20"/>
                <w:szCs w:val="20"/>
                <w:u w:val="none"/>
                <w:lang w:val="en-US"/>
              </w:rPr>
            </w:pPr>
            <w:r>
              <w:rPr>
                <w:rFonts w:hint="eastAsia" w:ascii="黑体" w:hAnsi="宋体" w:eastAsia="黑体" w:cs="黑体"/>
                <w:i w:val="0"/>
                <w:color w:val="000000"/>
                <w:kern w:val="0"/>
                <w:sz w:val="20"/>
                <w:szCs w:val="20"/>
                <w:u w:val="none"/>
                <w:lang w:val="en-US" w:eastAsia="zh-CN" w:bidi="ar"/>
              </w:rPr>
              <w:t>脉冲仪界面可显示导管组织贴靠的压力大小（精确到克g）及组织贴靠的方向。</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产品彩页、说明书或技术白皮书</w:t>
            </w:r>
          </w:p>
        </w:tc>
      </w:tr>
      <w:tr>
        <w:tblPrEx>
          <w:tblCellMar>
            <w:top w:w="0" w:type="dxa"/>
            <w:left w:w="0" w:type="dxa"/>
            <w:bottom w:w="0" w:type="dxa"/>
            <w:right w:w="0" w:type="dxa"/>
          </w:tblCellMar>
        </w:tblPrEx>
        <w:trPr>
          <w:trHeight w:val="73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sz w:val="20"/>
                <w:szCs w:val="20"/>
                <w:u w:val="none"/>
                <w:lang w:val="en-US" w:eastAsia="zh-CN"/>
              </w:rPr>
            </w:pPr>
            <w:r>
              <w:rPr>
                <w:rFonts w:hint="eastAsia" w:ascii="黑体" w:hAnsi="宋体" w:eastAsia="黑体" w:cs="黑体"/>
                <w:i w:val="0"/>
                <w:color w:val="000000"/>
                <w:sz w:val="20"/>
                <w:szCs w:val="20"/>
                <w:u w:val="none"/>
                <w:lang w:val="en-US" w:eastAsia="zh-CN"/>
              </w:rPr>
              <w:t>25</w:t>
            </w:r>
          </w:p>
        </w:tc>
        <w:tc>
          <w:tcPr>
            <w:tcW w:w="13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lang w:eastAsia="zh-CN"/>
              </w:rPr>
            </w:pPr>
            <w:r>
              <w:rPr>
                <w:rFonts w:hint="eastAsia" w:ascii="黑体" w:hAnsi="宋体" w:eastAsia="黑体" w:cs="黑体"/>
                <w:i w:val="0"/>
                <w:color w:val="000000"/>
                <w:sz w:val="20"/>
                <w:szCs w:val="20"/>
                <w:u w:val="none"/>
                <w:lang w:eastAsia="zh-CN"/>
              </w:rPr>
              <w:t>充电效能</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4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黑体" w:hAnsi="宋体" w:eastAsia="黑体" w:cs="黑体"/>
                <w:i w:val="0"/>
                <w:color w:val="000000"/>
                <w:sz w:val="20"/>
                <w:szCs w:val="20"/>
                <w:u w:val="none"/>
                <w:lang w:val="en-US" w:eastAsia="zh-CN"/>
              </w:rPr>
            </w:pPr>
            <w:r>
              <w:rPr>
                <w:rFonts w:hint="eastAsia" w:ascii="黑体" w:hAnsi="宋体" w:eastAsia="黑体" w:cs="黑体"/>
                <w:i w:val="0"/>
                <w:color w:val="000000"/>
                <w:sz w:val="20"/>
                <w:szCs w:val="20"/>
                <w:u w:val="none"/>
                <w:lang w:eastAsia="zh-CN"/>
              </w:rPr>
              <w:t>一次脉冲充电可支持</w:t>
            </w:r>
            <w:r>
              <w:rPr>
                <w:rFonts w:hint="eastAsia" w:ascii="黑体" w:hAnsi="宋体" w:eastAsia="黑体" w:cs="黑体"/>
                <w:i w:val="0"/>
                <w:color w:val="000000"/>
                <w:kern w:val="0"/>
                <w:sz w:val="20"/>
                <w:szCs w:val="20"/>
                <w:u w:val="none"/>
                <w:lang w:val="en-US" w:eastAsia="zh-CN" w:bidi="ar"/>
              </w:rPr>
              <w:t>≥2小时</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CellMar>
            <w:top w:w="0" w:type="dxa"/>
            <w:left w:w="0" w:type="dxa"/>
            <w:bottom w:w="0" w:type="dxa"/>
            <w:right w:w="0" w:type="dxa"/>
          </w:tblCellMar>
        </w:tblPrEx>
        <w:trPr>
          <w:trHeight w:val="73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sz w:val="20"/>
                <w:szCs w:val="20"/>
                <w:u w:val="none"/>
                <w:lang w:val="en-US" w:eastAsia="zh-CN"/>
              </w:rPr>
            </w:pPr>
            <w:r>
              <w:rPr>
                <w:rFonts w:hint="eastAsia" w:ascii="黑体" w:hAnsi="宋体" w:eastAsia="黑体" w:cs="黑体"/>
                <w:i w:val="0"/>
                <w:color w:val="000000"/>
                <w:sz w:val="20"/>
                <w:szCs w:val="20"/>
                <w:u w:val="none"/>
                <w:lang w:val="en-US" w:eastAsia="zh-CN"/>
              </w:rPr>
              <w:t>26</w:t>
            </w:r>
          </w:p>
        </w:tc>
        <w:tc>
          <w:tcPr>
            <w:tcW w:w="13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sz w:val="20"/>
                <w:szCs w:val="20"/>
                <w:u w:val="none"/>
                <w:lang w:val="en-US" w:eastAsia="zh-CN"/>
              </w:rPr>
              <w:t>脉冲仪是否兼容标测系统</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r>
              <w:rPr>
                <w:rFonts w:hint="eastAsia" w:ascii="宋体" w:hAnsi="宋体" w:eastAsia="宋体" w:cs="宋体"/>
                <w:i w:val="0"/>
                <w:color w:val="000000"/>
                <w:sz w:val="20"/>
                <w:szCs w:val="20"/>
                <w:u w:val="none"/>
              </w:rPr>
              <w:t>▲</w:t>
            </w:r>
          </w:p>
        </w:tc>
        <w:tc>
          <w:tcPr>
            <w:tcW w:w="4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lang w:eastAsia="zh-CN"/>
              </w:rPr>
            </w:pPr>
            <w:r>
              <w:rPr>
                <w:rFonts w:hint="eastAsia" w:ascii="黑体" w:hAnsi="宋体" w:eastAsia="黑体" w:cs="黑体"/>
                <w:i w:val="0"/>
                <w:color w:val="000000"/>
                <w:sz w:val="20"/>
                <w:szCs w:val="20"/>
                <w:u w:val="none"/>
                <w:lang w:eastAsia="zh-CN"/>
              </w:rPr>
              <w:t>脉冲仪兼容三维心脏电生理标测系统，实时显示脉冲能量参数，同步提供组织贴靠指示。</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产品彩页、说明书或技术白皮书</w:t>
            </w:r>
          </w:p>
        </w:tc>
      </w:tr>
      <w:tr>
        <w:tblPrEx>
          <w:tblCellMar>
            <w:top w:w="0" w:type="dxa"/>
            <w:left w:w="0" w:type="dxa"/>
            <w:bottom w:w="0" w:type="dxa"/>
            <w:right w:w="0" w:type="dxa"/>
          </w:tblCellMar>
        </w:tblPrEx>
        <w:trPr>
          <w:trHeight w:val="73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sz w:val="20"/>
                <w:szCs w:val="20"/>
                <w:u w:val="none"/>
                <w:lang w:val="en-US" w:eastAsia="zh-CN"/>
              </w:rPr>
            </w:pPr>
            <w:r>
              <w:rPr>
                <w:rFonts w:hint="eastAsia" w:ascii="黑体" w:hAnsi="宋体" w:eastAsia="黑体" w:cs="黑体"/>
                <w:i w:val="0"/>
                <w:color w:val="000000"/>
                <w:sz w:val="20"/>
                <w:szCs w:val="20"/>
                <w:u w:val="none"/>
                <w:lang w:val="en-US" w:eastAsia="zh-CN"/>
              </w:rPr>
              <w:t>27</w:t>
            </w:r>
          </w:p>
        </w:tc>
        <w:tc>
          <w:tcPr>
            <w:tcW w:w="13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2"/>
                <w:sz w:val="20"/>
                <w:szCs w:val="20"/>
                <w:u w:val="none"/>
                <w:lang w:val="en-US" w:eastAsia="zh-CN" w:bidi="ar-SA"/>
              </w:rPr>
            </w:pPr>
            <w:r>
              <w:rPr>
                <w:rFonts w:hint="eastAsia" w:ascii="黑体" w:hAnsi="宋体" w:eastAsia="黑体" w:cs="黑体"/>
                <w:i w:val="0"/>
                <w:color w:val="000000"/>
                <w:kern w:val="0"/>
                <w:sz w:val="20"/>
                <w:szCs w:val="20"/>
                <w:u w:val="none"/>
                <w:lang w:val="en-US" w:eastAsia="zh-CN" w:bidi="ar"/>
              </w:rPr>
              <w:t>配置要求</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2"/>
                <w:sz w:val="20"/>
                <w:szCs w:val="20"/>
                <w:u w:val="none"/>
                <w:lang w:val="en-US" w:eastAsia="zh-CN" w:bidi="ar-SA"/>
              </w:rPr>
            </w:pPr>
            <w:r>
              <w:rPr>
                <w:rFonts w:hint="eastAsia" w:ascii="黑体" w:hAnsi="宋体" w:eastAsia="黑体" w:cs="黑体"/>
                <w:i w:val="0"/>
                <w:color w:val="000000"/>
                <w:kern w:val="0"/>
                <w:sz w:val="20"/>
                <w:szCs w:val="20"/>
                <w:u w:val="none"/>
                <w:lang w:val="en-US" w:eastAsia="zh-CN" w:bidi="ar"/>
              </w:rPr>
              <w:t>★</w:t>
            </w:r>
          </w:p>
        </w:tc>
        <w:tc>
          <w:tcPr>
            <w:tcW w:w="4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2"/>
                <w:sz w:val="20"/>
                <w:szCs w:val="20"/>
                <w:u w:val="none"/>
                <w:lang w:val="en-US" w:eastAsia="zh-CN" w:bidi="ar-SA"/>
              </w:rPr>
            </w:pPr>
            <w:r>
              <w:rPr>
                <w:rFonts w:hint="eastAsia" w:ascii="黑体" w:hAnsi="宋体" w:eastAsia="黑体" w:cs="黑体"/>
                <w:i w:val="0"/>
                <w:color w:val="000000"/>
                <w:kern w:val="0"/>
                <w:sz w:val="20"/>
                <w:szCs w:val="20"/>
                <w:u w:val="none"/>
                <w:lang w:val="en-US" w:eastAsia="zh-CN" w:bidi="ar"/>
              </w:rPr>
              <w:t>主机1台，脚踏开关1个，附件1套，心脏电生理三维标测系统1套（二维或三维）</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lang w:eastAsia="zh-CN"/>
              </w:rPr>
            </w:pPr>
            <w:r>
              <w:rPr>
                <w:rFonts w:hint="eastAsia" w:ascii="黑体" w:hAnsi="宋体" w:eastAsia="黑体" w:cs="黑体"/>
                <w:i w:val="0"/>
                <w:color w:val="000000"/>
                <w:kern w:val="0"/>
                <w:sz w:val="20"/>
                <w:szCs w:val="20"/>
                <w:u w:val="none"/>
                <w:lang w:val="en-US" w:eastAsia="zh-CN" w:bidi="ar"/>
              </w:rPr>
              <w:t>企业承诺</w:t>
            </w:r>
          </w:p>
        </w:tc>
      </w:tr>
      <w:tr>
        <w:tblPrEx>
          <w:tblCellMar>
            <w:top w:w="0" w:type="dxa"/>
            <w:left w:w="0" w:type="dxa"/>
            <w:bottom w:w="0" w:type="dxa"/>
            <w:right w:w="0" w:type="dxa"/>
          </w:tblCellMar>
        </w:tblPrEx>
        <w:trPr>
          <w:trHeight w:val="73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sz w:val="20"/>
                <w:szCs w:val="20"/>
                <w:u w:val="none"/>
                <w:lang w:val="en-US" w:eastAsia="zh-CN"/>
              </w:rPr>
            </w:pPr>
            <w:r>
              <w:rPr>
                <w:rFonts w:hint="eastAsia" w:ascii="黑体" w:hAnsi="宋体" w:eastAsia="黑体" w:cs="黑体"/>
                <w:i w:val="0"/>
                <w:color w:val="000000"/>
                <w:sz w:val="20"/>
                <w:szCs w:val="20"/>
                <w:u w:val="none"/>
                <w:lang w:val="en-US" w:eastAsia="zh-CN"/>
              </w:rPr>
              <w:t>28</w:t>
            </w:r>
          </w:p>
        </w:tc>
        <w:tc>
          <w:tcPr>
            <w:tcW w:w="13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2"/>
                <w:sz w:val="20"/>
                <w:szCs w:val="20"/>
                <w:u w:val="none"/>
                <w:lang w:val="en-US" w:eastAsia="zh-CN" w:bidi="ar-SA"/>
              </w:rPr>
            </w:pPr>
            <w:r>
              <w:rPr>
                <w:rFonts w:hint="eastAsia" w:ascii="黑体" w:hAnsi="宋体" w:eastAsia="黑体" w:cs="黑体"/>
                <w:i w:val="0"/>
                <w:color w:val="000000"/>
                <w:kern w:val="0"/>
                <w:sz w:val="20"/>
                <w:szCs w:val="20"/>
                <w:u w:val="none"/>
                <w:lang w:val="en-US" w:eastAsia="zh-CN" w:bidi="ar"/>
              </w:rPr>
              <w:t>配套耗材</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（试剂）要求</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2"/>
                <w:sz w:val="20"/>
                <w:szCs w:val="20"/>
                <w:u w:val="none"/>
                <w:lang w:val="en-US" w:eastAsia="zh-CN" w:bidi="ar-SA"/>
              </w:rPr>
            </w:pPr>
            <w:r>
              <w:rPr>
                <w:rFonts w:hint="eastAsia" w:ascii="黑体" w:hAnsi="宋体" w:eastAsia="黑体" w:cs="黑体"/>
                <w:i w:val="0"/>
                <w:color w:val="000000"/>
                <w:kern w:val="0"/>
                <w:sz w:val="20"/>
                <w:szCs w:val="20"/>
                <w:u w:val="none"/>
                <w:lang w:val="en-US" w:eastAsia="zh-CN" w:bidi="ar"/>
              </w:rPr>
              <w:t>★</w:t>
            </w:r>
          </w:p>
        </w:tc>
        <w:tc>
          <w:tcPr>
            <w:tcW w:w="43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2"/>
                <w:sz w:val="20"/>
                <w:szCs w:val="20"/>
                <w:u w:val="none"/>
                <w:lang w:val="en-US" w:eastAsia="zh-CN" w:bidi="ar-SA"/>
              </w:rPr>
            </w:pPr>
            <w:r>
              <w:rPr>
                <w:rFonts w:hint="eastAsia" w:ascii="黑体" w:hAnsi="宋体" w:eastAsia="黑体" w:cs="黑体"/>
                <w:i w:val="0"/>
                <w:color w:val="000000"/>
                <w:kern w:val="0"/>
                <w:sz w:val="20"/>
                <w:szCs w:val="20"/>
                <w:u w:val="none"/>
                <w:lang w:val="en-US" w:eastAsia="zh-CN" w:bidi="ar"/>
              </w:rPr>
              <w:t>封闭耗材（试剂）</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厂家承诺及</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注册证</w:t>
            </w:r>
          </w:p>
        </w:tc>
      </w:tr>
      <w:tr>
        <w:tblPrEx>
          <w:tblCellMar>
            <w:top w:w="0" w:type="dxa"/>
            <w:left w:w="0" w:type="dxa"/>
            <w:bottom w:w="0" w:type="dxa"/>
            <w:right w:w="0" w:type="dxa"/>
          </w:tblCellMar>
        </w:tblPrEx>
        <w:trPr>
          <w:trHeight w:val="888" w:hRule="atLeast"/>
        </w:trPr>
        <w:tc>
          <w:tcPr>
            <w:tcW w:w="9384"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注：</w:t>
            </w:r>
          </w:p>
          <w:p>
            <w:pPr>
              <w:keepNext w:val="0"/>
              <w:keepLines w:val="0"/>
              <w:widowControl/>
              <w:numPr>
                <w:ilvl w:val="0"/>
                <w:numId w:val="0"/>
              </w:numPr>
              <w:suppressLineNumbers w:val="0"/>
              <w:jc w:val="left"/>
              <w:textAlignment w:val="center"/>
              <w:rPr>
                <w:rFonts w:hint="eastAsia"/>
                <w:lang w:val="en-US" w:eastAsia="zh-CN"/>
              </w:rPr>
            </w:pPr>
            <w:r>
              <w:rPr>
                <w:rFonts w:hint="eastAsia" w:ascii="黑体" w:hAnsi="宋体" w:eastAsia="黑体" w:cs="黑体"/>
                <w:i w:val="0"/>
                <w:color w:val="000000"/>
                <w:kern w:val="0"/>
                <w:sz w:val="20"/>
                <w:szCs w:val="20"/>
                <w:u w:val="none"/>
                <w:lang w:val="en-US" w:eastAsia="zh-CN" w:bidi="ar"/>
              </w:rPr>
              <w:t>1.加注★</w:t>
            </w:r>
            <w:r>
              <w:rPr>
                <w:rFonts w:hint="eastAsia" w:ascii="黑体" w:hAnsi="宋体" w:eastAsia="黑体" w:cs="黑体"/>
                <w:i w:val="0"/>
                <w:color w:val="000000"/>
                <w:kern w:val="0"/>
                <w:sz w:val="20"/>
                <w:szCs w:val="20"/>
                <w:u w:val="none"/>
                <w:lang w:val="zh-CN" w:eastAsia="zh-CN" w:bidi="ar"/>
              </w:rPr>
              <w:t>标识的</w:t>
            </w:r>
            <w:r>
              <w:rPr>
                <w:rFonts w:hint="eastAsia" w:ascii="黑体" w:hAnsi="宋体" w:eastAsia="黑体" w:cs="黑体"/>
                <w:i w:val="0"/>
                <w:color w:val="000000"/>
                <w:kern w:val="0"/>
                <w:sz w:val="20"/>
                <w:szCs w:val="20"/>
                <w:u w:val="none"/>
                <w:lang w:val="en-US" w:eastAsia="zh-CN" w:bidi="ar"/>
              </w:rPr>
              <w:t>指标为必须响应指标，任意一项不满足要求即做无效投标处理；</w:t>
            </w:r>
          </w:p>
          <w:p>
            <w:pPr>
              <w:keepNext w:val="0"/>
              <w:keepLines w:val="0"/>
              <w:widowControl/>
              <w:numPr>
                <w:ilvl w:val="0"/>
                <w:numId w:val="0"/>
              </w:numPr>
              <w:suppressLineNumbers w:val="0"/>
              <w:jc w:val="left"/>
              <w:textAlignment w:val="center"/>
              <w:rPr>
                <w:rFonts w:hint="eastAsia"/>
                <w:lang w:val="en-US" w:eastAsia="zh-CN"/>
              </w:rPr>
            </w:pPr>
            <w:r>
              <w:rPr>
                <w:rFonts w:hint="eastAsia" w:ascii="黑体" w:hAnsi="宋体" w:eastAsia="黑体" w:cs="黑体"/>
                <w:i w:val="0"/>
                <w:color w:val="000000"/>
                <w:kern w:val="0"/>
                <w:sz w:val="20"/>
                <w:szCs w:val="20"/>
                <w:u w:val="none"/>
                <w:lang w:val="en-US" w:eastAsia="zh-CN" w:bidi="ar"/>
              </w:rPr>
              <w:t>2.</w:t>
            </w:r>
            <w:r>
              <w:rPr>
                <w:rFonts w:hint="eastAsia" w:ascii="黑体" w:hAnsi="宋体" w:eastAsia="黑体" w:cs="黑体"/>
                <w:i w:val="0"/>
                <w:color w:val="000000"/>
                <w:kern w:val="0"/>
                <w:sz w:val="20"/>
                <w:szCs w:val="20"/>
                <w:u w:val="none"/>
                <w:lang w:val="zh-CN" w:eastAsia="zh-CN" w:bidi="ar"/>
              </w:rPr>
              <w:t>加注</w:t>
            </w:r>
            <w:r>
              <w:rPr>
                <w:rFonts w:hint="eastAsia" w:ascii="黑体" w:hAnsi="宋体" w:eastAsia="黑体" w:cs="黑体"/>
                <w:i w:val="0"/>
                <w:color w:val="000000"/>
                <w:kern w:val="0"/>
                <w:sz w:val="20"/>
                <w:szCs w:val="20"/>
                <w:u w:val="none"/>
                <w:lang w:val="en-US" w:eastAsia="zh-CN" w:bidi="ar"/>
              </w:rPr>
              <w:t>▲</w:t>
            </w:r>
            <w:r>
              <w:rPr>
                <w:rFonts w:hint="eastAsia" w:ascii="黑体" w:hAnsi="宋体" w:eastAsia="黑体" w:cs="黑体"/>
                <w:i w:val="0"/>
                <w:color w:val="000000"/>
                <w:kern w:val="0"/>
                <w:sz w:val="20"/>
                <w:szCs w:val="20"/>
                <w:u w:val="none"/>
                <w:lang w:val="zh-CN" w:eastAsia="zh-CN" w:bidi="ar"/>
              </w:rPr>
              <w:t>标识的指标为重要指标；</w:t>
            </w:r>
          </w:p>
          <w:p>
            <w:pPr>
              <w:keepNext w:val="0"/>
              <w:keepLines w:val="0"/>
              <w:widowControl/>
              <w:suppressLineNumbers w:val="0"/>
              <w:jc w:val="both"/>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3.★及▲标识的指标需按照采购需求表（物资类）备注中明确的要求提供相关证明材料。</w:t>
            </w:r>
          </w:p>
        </w:tc>
      </w:tr>
      <w:tr>
        <w:tblPrEx>
          <w:tblCellMar>
            <w:top w:w="0" w:type="dxa"/>
            <w:left w:w="0" w:type="dxa"/>
            <w:bottom w:w="0" w:type="dxa"/>
            <w:right w:w="0" w:type="dxa"/>
          </w:tblCellMar>
        </w:tblPrEx>
        <w:trPr>
          <w:trHeight w:val="888" w:hRule="atLeast"/>
        </w:trPr>
        <w:tc>
          <w:tcPr>
            <w:tcW w:w="9384"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▲标识的指标负偏离≥4项，投标企业技术分值为0分</w:t>
            </w:r>
          </w:p>
        </w:tc>
      </w:tr>
    </w:tbl>
    <w:p>
      <w:pPr>
        <w:pStyle w:val="6"/>
        <w:numPr>
          <w:ilvl w:val="0"/>
          <w:numId w:val="0"/>
        </w:numPr>
        <w:rPr>
          <w:rFonts w:hint="default"/>
          <w:lang w:val="en-US" w:eastAsia="zh-CN"/>
        </w:rPr>
      </w:pPr>
    </w:p>
    <w:tbl>
      <w:tblPr>
        <w:tblStyle w:val="4"/>
        <w:tblW w:w="0" w:type="auto"/>
        <w:tblInd w:w="0" w:type="dxa"/>
        <w:shd w:val="clear" w:color="auto" w:fill="auto"/>
        <w:tblLayout w:type="autofit"/>
        <w:tblCellMar>
          <w:top w:w="0" w:type="dxa"/>
          <w:left w:w="0" w:type="dxa"/>
          <w:bottom w:w="0" w:type="dxa"/>
          <w:right w:w="0" w:type="dxa"/>
        </w:tblCellMar>
      </w:tblPr>
      <w:tblGrid>
        <w:gridCol w:w="1681"/>
        <w:gridCol w:w="2402"/>
        <w:gridCol w:w="715"/>
        <w:gridCol w:w="1003"/>
        <w:gridCol w:w="715"/>
        <w:gridCol w:w="1393"/>
        <w:gridCol w:w="427"/>
      </w:tblGrid>
      <w:tr>
        <w:tblPrEx>
          <w:shd w:val="clear" w:color="auto" w:fill="auto"/>
          <w:tblCellMar>
            <w:top w:w="0" w:type="dxa"/>
            <w:left w:w="0" w:type="dxa"/>
            <w:bottom w:w="0" w:type="dxa"/>
            <w:right w:w="0" w:type="dxa"/>
          </w:tblCellMar>
        </w:tblPrEx>
        <w:trPr>
          <w:trHeight w:val="1020" w:hRule="atLeast"/>
        </w:trPr>
        <w:tc>
          <w:tcPr>
            <w:tcW w:w="0" w:type="auto"/>
            <w:gridSpan w:val="7"/>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color w:val="000000"/>
                <w:sz w:val="44"/>
                <w:szCs w:val="44"/>
                <w:u w:val="none"/>
              </w:rPr>
            </w:pPr>
            <w:r>
              <w:rPr>
                <w:rFonts w:hint="eastAsia" w:ascii="方正小标宋简体" w:hAnsi="方正小标宋简体" w:eastAsia="方正小标宋简体" w:cs="方正小标宋简体"/>
                <w:i w:val="0"/>
                <w:color w:val="000000"/>
                <w:kern w:val="0"/>
                <w:sz w:val="44"/>
                <w:szCs w:val="44"/>
                <w:u w:val="none"/>
                <w:lang w:val="en-US" w:eastAsia="zh-CN" w:bidi="ar"/>
              </w:rPr>
              <w:t>封闭耗材（试剂）用量测算表</w:t>
            </w:r>
          </w:p>
        </w:tc>
      </w:tr>
      <w:tr>
        <w:tblPrEx>
          <w:tblCellMar>
            <w:top w:w="0" w:type="dxa"/>
            <w:left w:w="0" w:type="dxa"/>
            <w:bottom w:w="0" w:type="dxa"/>
            <w:right w:w="0"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项目名称</w:t>
            </w:r>
          </w:p>
        </w:tc>
        <w:tc>
          <w:tcPr>
            <w:tcW w:w="0" w:type="auto"/>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心脏脉冲电场消融仪</w:t>
            </w:r>
          </w:p>
        </w:tc>
      </w:tr>
      <w:tr>
        <w:tblPrEx>
          <w:tblCellMar>
            <w:top w:w="0" w:type="dxa"/>
            <w:left w:w="0" w:type="dxa"/>
            <w:bottom w:w="0" w:type="dxa"/>
            <w:right w:w="0"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封闭耗材（试剂）描述</w:t>
            </w:r>
          </w:p>
        </w:tc>
        <w:tc>
          <w:tcPr>
            <w:tcW w:w="0" w:type="auto"/>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耗材(试剂)与设备为同一品牌</w:t>
            </w:r>
          </w:p>
        </w:tc>
      </w:tr>
      <w:tr>
        <w:tblPrEx>
          <w:tblCellMar>
            <w:top w:w="0" w:type="dxa"/>
            <w:left w:w="0" w:type="dxa"/>
            <w:bottom w:w="0" w:type="dxa"/>
            <w:right w:w="0" w:type="dxa"/>
          </w:tblCellMar>
        </w:tblPrEx>
        <w:trPr>
          <w:trHeight w:val="8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耗材（开展项目）名称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※规格</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预估2年用量</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计量单位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最高限价（万元）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备注</w:t>
            </w:r>
          </w:p>
        </w:tc>
      </w:tr>
      <w:tr>
        <w:tblPrEx>
          <w:tblCellMar>
            <w:top w:w="0" w:type="dxa"/>
            <w:left w:w="0" w:type="dxa"/>
            <w:bottom w:w="0" w:type="dxa"/>
            <w:right w:w="0" w:type="dxa"/>
          </w:tblCellMar>
        </w:tblPrEx>
        <w:trPr>
          <w:trHeight w:val="1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一次性使用心脏脉冲电场消融导管</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厂家自报</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根</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720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宋体" w:hAnsi="宋体" w:eastAsia="宋体" w:cs="宋体"/>
                <w:b/>
                <w:i w:val="0"/>
                <w:color w:val="000000"/>
                <w:sz w:val="20"/>
                <w:szCs w:val="20"/>
                <w:u w:val="none"/>
              </w:rPr>
            </w:pPr>
          </w:p>
        </w:tc>
      </w:tr>
    </w:tbl>
    <w:p>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AD42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仿宋_GB2312" w:hAnsi="Calibri" w:eastAsia="仿宋_GB2312" w:cs="仿宋_GB2312"/>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qFormat/>
    <w:uiPriority w:val="0"/>
    <w:pPr>
      <w:keepNext/>
      <w:keepLines/>
      <w:spacing w:before="260" w:after="260" w:line="416" w:lineRule="auto"/>
      <w:outlineLvl w:val="2"/>
    </w:pPr>
    <w:rPr>
      <w:rFonts w:eastAsia="黑体"/>
      <w:b/>
      <w:bCs/>
      <w:sz w:val="32"/>
      <w:szCs w:val="32"/>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pPr>
      <w:spacing w:after="120"/>
    </w:pPr>
  </w:style>
  <w:style w:type="paragraph" w:customStyle="1" w:styleId="6">
    <w:name w:val="Default"/>
    <w:qFormat/>
    <w:uiPriority w:val="0"/>
    <w:pPr>
      <w:widowControl w:val="0"/>
      <w:autoSpaceDE w:val="0"/>
      <w:autoSpaceDN w:val="0"/>
      <w:adjustRightInd w:val="0"/>
    </w:pPr>
    <w:rPr>
      <w:rFonts w:ascii="黑体" w:hAnsi="Times New Roman" w:eastAsia="黑体" w:cs="Times New Roman"/>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2025-02-28T11:07:39Z</dcterms:created>
  <dc:creator>DOCTOR</dc:creator>
  <cp:lastModifiedBy>DOCTOR</cp:lastModifiedBy>
  <dcterms:modified xsi:type="dcterms:W3CDTF">2025-02-28T11:07:42Z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