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pPr>
    </w:p>
    <w:tbl>
      <w:tblPr>
        <w:tblW w:w="10380" w:type="dxa"/>
        <w:jc w:val="center"/>
        <w:tblInd w:w="-1022"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fixed"/>
        <w:tblCellMar>
          <w:top w:w="0" w:type="dxa"/>
          <w:left w:w="0" w:type="dxa"/>
          <w:bottom w:w="0" w:type="dxa"/>
          <w:right w:w="0" w:type="dxa"/>
        </w:tblCellMar>
      </w:tblPr>
      <w:tblGrid>
        <w:gridCol w:w="495"/>
        <w:gridCol w:w="2160"/>
        <w:gridCol w:w="512"/>
        <w:gridCol w:w="11"/>
        <w:gridCol w:w="512"/>
        <w:gridCol w:w="3842"/>
        <w:gridCol w:w="523"/>
        <w:gridCol w:w="510"/>
        <w:gridCol w:w="652"/>
        <w:gridCol w:w="116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fixed"/>
          <w:tblCellMar>
            <w:top w:w="0" w:type="dxa"/>
            <w:left w:w="0" w:type="dxa"/>
            <w:bottom w:w="0" w:type="dxa"/>
            <w:right w:w="0" w:type="dxa"/>
          </w:tblCellMar>
        </w:tblPrEx>
        <w:trPr>
          <w:trHeight w:val="540" w:hRule="atLeast"/>
          <w:jc w:val="center"/>
        </w:trPr>
        <w:tc>
          <w:tcPr>
            <w:tcW w:w="10380" w:type="dxa"/>
            <w:gridSpan w:val="10"/>
            <w:tcBorders>
              <w:top w:val="nil"/>
              <w:left w:val="nil"/>
              <w:bottom w:val="nil"/>
              <w:right w:val="nil"/>
            </w:tcBorders>
            <w:shd w:val="clear"/>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44"/>
                <w:szCs w:val="44"/>
                <w:u w:val="none"/>
              </w:rPr>
            </w:pPr>
            <w:bookmarkStart w:id="0" w:name="_GoBack"/>
            <w:r>
              <w:rPr>
                <w:rFonts w:hint="default" w:ascii="Times New Roman" w:hAnsi="Times New Roman" w:eastAsia="宋体" w:cs="Times New Roman"/>
                <w:b/>
                <w:bCs/>
                <w:i w:val="0"/>
                <w:color w:val="000000"/>
                <w:kern w:val="0"/>
                <w:sz w:val="44"/>
                <w:szCs w:val="44"/>
                <w:u w:val="none"/>
                <w:bdr w:val="none" w:color="auto" w:sz="0" w:space="0"/>
                <w:lang w:val="en-US" w:eastAsia="zh-CN" w:bidi="ar"/>
              </w:rPr>
              <w:t>采购需求表（服务类）</w:t>
            </w:r>
            <w:bookmarkEnd w:id="0"/>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760" w:hRule="atLeast"/>
          <w:jc w:val="center"/>
        </w:trPr>
        <w:tc>
          <w:tcPr>
            <w:tcW w:w="49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b/>
                <w:bCs/>
                <w:i w:val="0"/>
                <w:color w:val="000000"/>
                <w:kern w:val="0"/>
                <w:sz w:val="20"/>
                <w:szCs w:val="20"/>
                <w:u w:val="none"/>
                <w:lang w:val="en-US" w:eastAsia="zh-CN" w:bidi="ar"/>
              </w:rPr>
              <w:t>项目编号</w:t>
            </w:r>
          </w:p>
        </w:tc>
        <w:tc>
          <w:tcPr>
            <w:tcW w:w="2683" w:type="dxa"/>
            <w:gridSpan w:val="3"/>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2024-JQ06-F5107</w:t>
            </w:r>
          </w:p>
        </w:tc>
        <w:tc>
          <w:tcPr>
            <w:tcW w:w="51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b/>
                <w:bCs/>
                <w:i w:val="0"/>
                <w:color w:val="000000"/>
                <w:kern w:val="0"/>
                <w:sz w:val="20"/>
                <w:szCs w:val="20"/>
                <w:u w:val="none"/>
                <w:lang w:val="en-US" w:eastAsia="zh-CN" w:bidi="ar"/>
              </w:rPr>
              <w:t>项目名称</w:t>
            </w:r>
          </w:p>
        </w:tc>
        <w:tc>
          <w:tcPr>
            <w:tcW w:w="4365"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11号联影UCT S-160 16排CT保修服务(序列号：100018）</w:t>
            </w:r>
          </w:p>
        </w:tc>
        <w:tc>
          <w:tcPr>
            <w:tcW w:w="1162"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b/>
                <w:bCs/>
                <w:i w:val="0"/>
                <w:color w:val="000000"/>
                <w:kern w:val="0"/>
                <w:sz w:val="20"/>
                <w:szCs w:val="20"/>
                <w:u w:val="none"/>
                <w:lang w:val="en-US" w:eastAsia="zh-CN" w:bidi="ar"/>
              </w:rPr>
              <w:t>最高限价</w:t>
            </w:r>
            <w:r>
              <w:rPr>
                <w:rFonts w:hint="default" w:ascii="Times New Roman" w:hAnsi="Times New Roman" w:eastAsia="宋体" w:cs="Times New Roman"/>
                <w:b/>
                <w:bCs/>
                <w:i w:val="0"/>
                <w:color w:val="000000"/>
                <w:kern w:val="0"/>
                <w:sz w:val="20"/>
                <w:szCs w:val="20"/>
                <w:u w:val="none"/>
                <w:lang w:val="en-US" w:eastAsia="zh-CN" w:bidi="ar"/>
              </w:rPr>
              <w:br w:type="textWrapping"/>
            </w:r>
            <w:r>
              <w:rPr>
                <w:rFonts w:hint="default" w:ascii="Times New Roman" w:hAnsi="Times New Roman" w:eastAsia="宋体" w:cs="Times New Roman"/>
                <w:b/>
                <w:bCs/>
                <w:i w:val="0"/>
                <w:color w:val="000000"/>
                <w:kern w:val="0"/>
                <w:sz w:val="20"/>
                <w:szCs w:val="20"/>
                <w:u w:val="none"/>
                <w:lang w:val="en-US" w:eastAsia="zh-CN" w:bidi="ar"/>
              </w:rPr>
              <w:t>（万元）</w:t>
            </w:r>
          </w:p>
        </w:tc>
        <w:tc>
          <w:tcPr>
            <w:tcW w:w="1163"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20"/>
                <w:szCs w:val="20"/>
                <w:u w:val="none"/>
                <w:bdr w:val="none" w:color="auto" w:sz="0" w:space="0"/>
                <w:lang w:val="en-US" w:eastAsia="zh-CN" w:bidi="ar"/>
              </w:rPr>
            </w:pPr>
            <w:r>
              <w:rPr>
                <w:rFonts w:hint="default" w:ascii="Times New Roman" w:hAnsi="Times New Roman" w:eastAsia="宋体" w:cs="Times New Roman"/>
                <w:i w:val="0"/>
                <w:color w:val="000000"/>
                <w:kern w:val="0"/>
                <w:sz w:val="20"/>
                <w:szCs w:val="20"/>
                <w:u w:val="none"/>
                <w:lang w:val="en-US" w:eastAsia="zh-CN" w:bidi="ar"/>
              </w:rPr>
              <w:t>96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80" w:hRule="atLeast"/>
          <w:jc w:val="center"/>
        </w:trPr>
        <w:tc>
          <w:tcPr>
            <w:tcW w:w="49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b/>
                <w:bCs/>
                <w:i w:val="0"/>
                <w:color w:val="000000"/>
                <w:sz w:val="20"/>
                <w:szCs w:val="20"/>
                <w:u w:val="none"/>
              </w:rPr>
            </w:pPr>
            <w:r>
              <w:rPr>
                <w:rFonts w:hint="default" w:ascii="Times New Roman" w:hAnsi="Times New Roman" w:eastAsia="宋体" w:cs="Times New Roman"/>
                <w:b/>
                <w:bCs/>
                <w:i w:val="0"/>
                <w:color w:val="000000"/>
                <w:kern w:val="0"/>
                <w:sz w:val="20"/>
                <w:szCs w:val="20"/>
                <w:u w:val="none"/>
                <w:bdr w:val="none" w:color="auto" w:sz="0" w:space="0"/>
                <w:lang w:val="en-US" w:eastAsia="zh-CN" w:bidi="ar"/>
              </w:rPr>
              <w:t>序号</w:t>
            </w:r>
          </w:p>
        </w:tc>
        <w:tc>
          <w:tcPr>
            <w:tcW w:w="216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b/>
                <w:bCs/>
                <w:i w:val="0"/>
                <w:color w:val="000000"/>
                <w:sz w:val="20"/>
                <w:szCs w:val="20"/>
                <w:u w:val="none"/>
              </w:rPr>
            </w:pPr>
            <w:r>
              <w:rPr>
                <w:rFonts w:hint="default" w:ascii="Times New Roman" w:hAnsi="Times New Roman" w:eastAsia="宋体" w:cs="Times New Roman"/>
                <w:b/>
                <w:bCs/>
                <w:i w:val="0"/>
                <w:color w:val="000000"/>
                <w:kern w:val="0"/>
                <w:sz w:val="20"/>
                <w:szCs w:val="20"/>
                <w:u w:val="none"/>
                <w:bdr w:val="none" w:color="auto" w:sz="0" w:space="0"/>
                <w:lang w:val="en-US" w:eastAsia="zh-CN" w:bidi="ar"/>
              </w:rPr>
              <w:t>需求名称</w:t>
            </w:r>
          </w:p>
        </w:tc>
        <w:tc>
          <w:tcPr>
            <w:tcW w:w="523"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b/>
                <w:bCs/>
                <w:i w:val="0"/>
                <w:color w:val="000000"/>
                <w:sz w:val="20"/>
                <w:szCs w:val="20"/>
                <w:u w:val="none"/>
              </w:rPr>
            </w:pPr>
            <w:r>
              <w:rPr>
                <w:rFonts w:hint="default" w:ascii="Times New Roman" w:hAnsi="Times New Roman" w:eastAsia="宋体" w:cs="Times New Roman"/>
                <w:b/>
                <w:bCs/>
                <w:i w:val="0"/>
                <w:color w:val="000000"/>
                <w:kern w:val="0"/>
                <w:sz w:val="20"/>
                <w:szCs w:val="20"/>
                <w:u w:val="none"/>
                <w:bdr w:val="none" w:color="auto" w:sz="0" w:space="0"/>
                <w:lang w:val="en-US" w:eastAsia="zh-CN" w:bidi="ar"/>
              </w:rPr>
              <w:t>参数性质</w:t>
            </w:r>
          </w:p>
        </w:tc>
        <w:tc>
          <w:tcPr>
            <w:tcW w:w="4877" w:type="dxa"/>
            <w:gridSpan w:val="3"/>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b/>
                <w:bCs/>
                <w:i w:val="0"/>
                <w:color w:val="000000"/>
                <w:sz w:val="20"/>
                <w:szCs w:val="20"/>
                <w:u w:val="none"/>
              </w:rPr>
            </w:pPr>
            <w:r>
              <w:rPr>
                <w:rFonts w:hint="default" w:ascii="Times New Roman" w:hAnsi="Times New Roman" w:eastAsia="宋体" w:cs="Times New Roman"/>
                <w:b/>
                <w:bCs/>
                <w:i w:val="0"/>
                <w:color w:val="000000"/>
                <w:kern w:val="0"/>
                <w:sz w:val="20"/>
                <w:szCs w:val="20"/>
                <w:u w:val="none"/>
                <w:bdr w:val="none" w:color="auto" w:sz="0" w:space="0"/>
                <w:lang w:val="en-US" w:eastAsia="zh-CN" w:bidi="ar"/>
              </w:rPr>
              <w:t>需求具体内容</w:t>
            </w:r>
          </w:p>
        </w:tc>
        <w:tc>
          <w:tcPr>
            <w:tcW w:w="51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b/>
                <w:bCs/>
                <w:i w:val="0"/>
                <w:color w:val="000000"/>
                <w:sz w:val="20"/>
                <w:szCs w:val="20"/>
                <w:u w:val="none"/>
              </w:rPr>
            </w:pPr>
            <w:r>
              <w:rPr>
                <w:rFonts w:hint="default" w:ascii="Times New Roman" w:hAnsi="Times New Roman" w:eastAsia="宋体" w:cs="Times New Roman"/>
                <w:b/>
                <w:bCs/>
                <w:i w:val="0"/>
                <w:color w:val="000000"/>
                <w:kern w:val="0"/>
                <w:sz w:val="20"/>
                <w:szCs w:val="20"/>
                <w:u w:val="none"/>
                <w:bdr w:val="none" w:color="auto" w:sz="0" w:space="0"/>
                <w:lang w:val="en-US" w:eastAsia="zh-CN" w:bidi="ar"/>
              </w:rPr>
              <w:t>是否量化</w:t>
            </w:r>
          </w:p>
        </w:tc>
        <w:tc>
          <w:tcPr>
            <w:tcW w:w="1815"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b/>
                <w:bCs/>
                <w:i w:val="0"/>
                <w:color w:val="000000"/>
                <w:sz w:val="20"/>
                <w:szCs w:val="20"/>
                <w:u w:val="none"/>
              </w:rPr>
            </w:pPr>
            <w:r>
              <w:rPr>
                <w:rFonts w:hint="default" w:ascii="Times New Roman" w:hAnsi="Times New Roman" w:eastAsia="宋体" w:cs="Times New Roman"/>
                <w:b/>
                <w:bCs/>
                <w:i w:val="0"/>
                <w:color w:val="000000"/>
                <w:kern w:val="0"/>
                <w:sz w:val="20"/>
                <w:szCs w:val="20"/>
                <w:u w:val="none"/>
                <w:bdr w:val="none" w:color="auto" w:sz="0" w:space="0"/>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60" w:hRule="atLeast"/>
          <w:jc w:val="center"/>
        </w:trPr>
        <w:tc>
          <w:tcPr>
            <w:tcW w:w="10380" w:type="dxa"/>
            <w:gridSpan w:val="10"/>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b/>
                <w:bCs/>
                <w:i w:val="0"/>
                <w:color w:val="000000"/>
                <w:sz w:val="20"/>
                <w:szCs w:val="20"/>
                <w:u w:val="none"/>
              </w:rPr>
            </w:pPr>
            <w:r>
              <w:rPr>
                <w:rFonts w:hint="default" w:ascii="Times New Roman" w:hAnsi="Times New Roman" w:eastAsia="宋体" w:cs="Times New Roman"/>
                <w:b/>
                <w:bCs/>
                <w:i w:val="0"/>
                <w:color w:val="000000"/>
                <w:kern w:val="0"/>
                <w:sz w:val="20"/>
                <w:szCs w:val="20"/>
                <w:u w:val="none"/>
                <w:bdr w:val="none" w:color="auto" w:sz="0" w:space="0"/>
                <w:lang w:val="en-US" w:eastAsia="zh-CN" w:bidi="ar"/>
              </w:rPr>
              <w:t>技术要求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800" w:hRule="atLeast"/>
          <w:jc w:val="center"/>
        </w:trPr>
        <w:tc>
          <w:tcPr>
            <w:tcW w:w="49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1</w:t>
            </w:r>
          </w:p>
        </w:tc>
        <w:tc>
          <w:tcPr>
            <w:tcW w:w="216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基本要求</w:t>
            </w:r>
          </w:p>
        </w:tc>
        <w:tc>
          <w:tcPr>
            <w:tcW w:w="523"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w:t>
            </w:r>
          </w:p>
        </w:tc>
        <w:tc>
          <w:tcPr>
            <w:tcW w:w="4877" w:type="dxa"/>
            <w:gridSpan w:val="3"/>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保修涵盖联影UCT S-160 16排CT设备计算机系统、机架、检查床、球管及高压系统、探测器、工作站等，合同期内不再收取任何费用。</w:t>
            </w:r>
          </w:p>
        </w:tc>
        <w:tc>
          <w:tcPr>
            <w:tcW w:w="51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否</w:t>
            </w:r>
          </w:p>
        </w:tc>
        <w:tc>
          <w:tcPr>
            <w:tcW w:w="1815"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提供保修范围清单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960" w:hRule="atLeast"/>
          <w:jc w:val="center"/>
        </w:trPr>
        <w:tc>
          <w:tcPr>
            <w:tcW w:w="49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2</w:t>
            </w:r>
          </w:p>
        </w:tc>
        <w:tc>
          <w:tcPr>
            <w:tcW w:w="216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投标企业要求</w:t>
            </w:r>
          </w:p>
        </w:tc>
        <w:tc>
          <w:tcPr>
            <w:tcW w:w="523"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w:t>
            </w:r>
          </w:p>
        </w:tc>
        <w:tc>
          <w:tcPr>
            <w:tcW w:w="4877" w:type="dxa"/>
            <w:gridSpan w:val="3"/>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投标人是原厂或原厂合法授权代理商，须具有医疗设备维修企业资格(即营业执照的经营范围包括医疗器械维修或专用设备修理)。</w:t>
            </w:r>
          </w:p>
        </w:tc>
        <w:tc>
          <w:tcPr>
            <w:tcW w:w="51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否</w:t>
            </w:r>
          </w:p>
        </w:tc>
        <w:tc>
          <w:tcPr>
            <w:tcW w:w="1815"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 xml:space="preserve">提供授权书，提供营业执照，提供在过去五年内无重大维修事故及法律纠纷发生承诺书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200" w:hRule="atLeast"/>
          <w:jc w:val="center"/>
        </w:trPr>
        <w:tc>
          <w:tcPr>
            <w:tcW w:w="49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3</w:t>
            </w:r>
          </w:p>
        </w:tc>
        <w:tc>
          <w:tcPr>
            <w:tcW w:w="216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专业团队</w:t>
            </w:r>
          </w:p>
        </w:tc>
        <w:tc>
          <w:tcPr>
            <w:tcW w:w="523"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w:t>
            </w:r>
          </w:p>
        </w:tc>
        <w:tc>
          <w:tcPr>
            <w:tcW w:w="4877" w:type="dxa"/>
            <w:gridSpan w:val="3"/>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实际服务提供商国内拥有专业的技术支持团队≥3人，且其中至少1名要求具备大于5年的实际服务提供商连续服务年限。具有临床应用培训专家，可以满足远程和现场临床应用培训。</w:t>
            </w:r>
          </w:p>
        </w:tc>
        <w:tc>
          <w:tcPr>
            <w:tcW w:w="51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否</w:t>
            </w:r>
          </w:p>
        </w:tc>
        <w:tc>
          <w:tcPr>
            <w:tcW w:w="1815"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提供姓名及行业培训考核合格授权资质证</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00" w:hRule="atLeast"/>
          <w:jc w:val="center"/>
        </w:trPr>
        <w:tc>
          <w:tcPr>
            <w:tcW w:w="49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4</w:t>
            </w:r>
          </w:p>
        </w:tc>
        <w:tc>
          <w:tcPr>
            <w:tcW w:w="216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维保经验</w:t>
            </w:r>
          </w:p>
        </w:tc>
        <w:tc>
          <w:tcPr>
            <w:tcW w:w="523"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w:t>
            </w:r>
          </w:p>
        </w:tc>
        <w:tc>
          <w:tcPr>
            <w:tcW w:w="4877" w:type="dxa"/>
            <w:gridSpan w:val="3"/>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实际服务提供商应具备联影UCT S-160 16排CT设备的维保经验，用户≥2家。</w:t>
            </w:r>
          </w:p>
        </w:tc>
        <w:tc>
          <w:tcPr>
            <w:tcW w:w="51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否</w:t>
            </w:r>
          </w:p>
        </w:tc>
        <w:tc>
          <w:tcPr>
            <w:tcW w:w="1815"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提供维保合同</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820" w:hRule="atLeast"/>
          <w:jc w:val="center"/>
        </w:trPr>
        <w:tc>
          <w:tcPr>
            <w:tcW w:w="49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5</w:t>
            </w:r>
          </w:p>
        </w:tc>
        <w:tc>
          <w:tcPr>
            <w:tcW w:w="216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专业工具</w:t>
            </w:r>
          </w:p>
        </w:tc>
        <w:tc>
          <w:tcPr>
            <w:tcW w:w="523"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w:t>
            </w:r>
          </w:p>
        </w:tc>
        <w:tc>
          <w:tcPr>
            <w:tcW w:w="4877" w:type="dxa"/>
            <w:gridSpan w:val="3"/>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实际服务提供商须具有经校正的维修、保养联影UCT S-160 16排CT设备的专业维修工具、仪器。</w:t>
            </w:r>
          </w:p>
        </w:tc>
        <w:tc>
          <w:tcPr>
            <w:tcW w:w="51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否</w:t>
            </w:r>
          </w:p>
        </w:tc>
        <w:tc>
          <w:tcPr>
            <w:tcW w:w="1815"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提供承诺书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840" w:hRule="atLeast"/>
          <w:jc w:val="center"/>
        </w:trPr>
        <w:tc>
          <w:tcPr>
            <w:tcW w:w="49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6</w:t>
            </w:r>
          </w:p>
        </w:tc>
        <w:tc>
          <w:tcPr>
            <w:tcW w:w="216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客服专线</w:t>
            </w:r>
          </w:p>
        </w:tc>
        <w:tc>
          <w:tcPr>
            <w:tcW w:w="523"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w:t>
            </w:r>
          </w:p>
        </w:tc>
        <w:tc>
          <w:tcPr>
            <w:tcW w:w="4877" w:type="dxa"/>
            <w:gridSpan w:val="3"/>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实际服务提供商须具备24小时客户服务专线电话，全年365天开通，并配有在线和远程技术支持。</w:t>
            </w:r>
          </w:p>
        </w:tc>
        <w:tc>
          <w:tcPr>
            <w:tcW w:w="51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否</w:t>
            </w:r>
          </w:p>
        </w:tc>
        <w:tc>
          <w:tcPr>
            <w:tcW w:w="1815"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提供承诺书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020" w:hRule="atLeast"/>
          <w:jc w:val="center"/>
        </w:trPr>
        <w:tc>
          <w:tcPr>
            <w:tcW w:w="49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7</w:t>
            </w:r>
          </w:p>
        </w:tc>
        <w:tc>
          <w:tcPr>
            <w:tcW w:w="216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响应时间</w:t>
            </w:r>
          </w:p>
        </w:tc>
        <w:tc>
          <w:tcPr>
            <w:tcW w:w="523"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w:t>
            </w:r>
          </w:p>
        </w:tc>
        <w:tc>
          <w:tcPr>
            <w:tcW w:w="4877" w:type="dxa"/>
            <w:gridSpan w:val="3"/>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响应时间：≤2小时，工程师到场时间：≤12小时内。更换配件到货安装时间如下：</w:t>
            </w:r>
            <w:r>
              <w:rPr>
                <w:rFonts w:hint="default" w:ascii="Times New Roman" w:hAnsi="Times New Roman" w:eastAsia="宋体" w:cs="Times New Roman"/>
                <w:i w:val="0"/>
                <w:color w:val="000000"/>
                <w:kern w:val="0"/>
                <w:sz w:val="20"/>
                <w:szCs w:val="20"/>
                <w:u w:val="none"/>
                <w:bdr w:val="none" w:color="auto" w:sz="0" w:space="0"/>
                <w:lang w:val="en-US" w:eastAsia="zh-CN" w:bidi="ar"/>
              </w:rPr>
              <w:br w:type="textWrapping"/>
            </w:r>
            <w:r>
              <w:rPr>
                <w:rFonts w:hint="default" w:ascii="Times New Roman" w:hAnsi="Times New Roman" w:eastAsia="宋体" w:cs="Times New Roman"/>
                <w:i w:val="0"/>
                <w:color w:val="000000"/>
                <w:kern w:val="0"/>
                <w:sz w:val="20"/>
                <w:szCs w:val="20"/>
                <w:u w:val="none"/>
                <w:bdr w:val="none" w:color="auto" w:sz="0" w:space="0"/>
                <w:lang w:val="en-US" w:eastAsia="zh-CN" w:bidi="ar"/>
              </w:rPr>
              <w:t>国内库房配件：≤36小时；</w:t>
            </w:r>
            <w:r>
              <w:rPr>
                <w:rFonts w:hint="default" w:ascii="Times New Roman" w:hAnsi="Times New Roman" w:eastAsia="宋体" w:cs="Times New Roman"/>
                <w:i w:val="0"/>
                <w:color w:val="000000"/>
                <w:kern w:val="0"/>
                <w:sz w:val="20"/>
                <w:szCs w:val="20"/>
                <w:u w:val="none"/>
                <w:bdr w:val="none" w:color="auto" w:sz="0" w:space="0"/>
                <w:lang w:val="en-US" w:eastAsia="zh-CN" w:bidi="ar"/>
              </w:rPr>
              <w:br w:type="textWrapping"/>
            </w:r>
            <w:r>
              <w:rPr>
                <w:rFonts w:hint="default" w:ascii="Times New Roman" w:hAnsi="Times New Roman" w:eastAsia="宋体" w:cs="Times New Roman"/>
                <w:i w:val="0"/>
                <w:color w:val="000000"/>
                <w:kern w:val="0"/>
                <w:sz w:val="20"/>
                <w:szCs w:val="20"/>
                <w:u w:val="none"/>
                <w:bdr w:val="none" w:color="auto" w:sz="0" w:space="0"/>
                <w:lang w:val="en-US" w:eastAsia="zh-CN" w:bidi="ar"/>
              </w:rPr>
              <w:t>如遇国内库房缺货，双方协商供货周期</w:t>
            </w:r>
          </w:p>
        </w:tc>
        <w:tc>
          <w:tcPr>
            <w:tcW w:w="51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否</w:t>
            </w:r>
          </w:p>
        </w:tc>
        <w:tc>
          <w:tcPr>
            <w:tcW w:w="1815"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提供承诺书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220" w:hRule="atLeast"/>
          <w:jc w:val="center"/>
        </w:trPr>
        <w:tc>
          <w:tcPr>
            <w:tcW w:w="49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8</w:t>
            </w:r>
          </w:p>
        </w:tc>
        <w:tc>
          <w:tcPr>
            <w:tcW w:w="216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保养服务</w:t>
            </w:r>
          </w:p>
        </w:tc>
        <w:tc>
          <w:tcPr>
            <w:tcW w:w="523"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w:t>
            </w:r>
          </w:p>
        </w:tc>
        <w:tc>
          <w:tcPr>
            <w:tcW w:w="4877" w:type="dxa"/>
            <w:gridSpan w:val="3"/>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每年至少提供4次保养服务，包括设备安全检查、影像质量检查、设备除尘保养、运行状态检查、更换易损耗件等，保养报告需添加到年度服务报告中（需提供保养时更换保养件的照片）。</w:t>
            </w:r>
          </w:p>
        </w:tc>
        <w:tc>
          <w:tcPr>
            <w:tcW w:w="51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否</w:t>
            </w:r>
          </w:p>
        </w:tc>
        <w:tc>
          <w:tcPr>
            <w:tcW w:w="1815"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提供承诺书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840" w:hRule="atLeast"/>
          <w:jc w:val="center"/>
        </w:trPr>
        <w:tc>
          <w:tcPr>
            <w:tcW w:w="49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9</w:t>
            </w:r>
          </w:p>
        </w:tc>
        <w:tc>
          <w:tcPr>
            <w:tcW w:w="216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风险防控</w:t>
            </w:r>
          </w:p>
        </w:tc>
        <w:tc>
          <w:tcPr>
            <w:tcW w:w="523"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w:t>
            </w:r>
          </w:p>
        </w:tc>
        <w:tc>
          <w:tcPr>
            <w:tcW w:w="4877" w:type="dxa"/>
            <w:gridSpan w:val="3"/>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由于实际服务提供商的维修、保养、操作等原因给设备和人员带来伤害，所造成的经济损失和法律责任由维保企业全部承担。</w:t>
            </w:r>
          </w:p>
        </w:tc>
        <w:tc>
          <w:tcPr>
            <w:tcW w:w="51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否</w:t>
            </w:r>
          </w:p>
        </w:tc>
        <w:tc>
          <w:tcPr>
            <w:tcW w:w="1815"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提供承诺书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840" w:hRule="atLeast"/>
          <w:jc w:val="center"/>
        </w:trPr>
        <w:tc>
          <w:tcPr>
            <w:tcW w:w="49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10</w:t>
            </w:r>
          </w:p>
        </w:tc>
        <w:tc>
          <w:tcPr>
            <w:tcW w:w="216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保健支持</w:t>
            </w:r>
          </w:p>
        </w:tc>
        <w:tc>
          <w:tcPr>
            <w:tcW w:w="523"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w:t>
            </w:r>
          </w:p>
        </w:tc>
        <w:tc>
          <w:tcPr>
            <w:tcW w:w="4877" w:type="dxa"/>
            <w:gridSpan w:val="3"/>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 xml:space="preserve">维保期内，有医疗保健任务时，实际服务提供商须按照院方指定要求，无偿派遣工程师赴现场保障，确保设备正常运行。 </w:t>
            </w:r>
          </w:p>
        </w:tc>
        <w:tc>
          <w:tcPr>
            <w:tcW w:w="51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否</w:t>
            </w:r>
          </w:p>
        </w:tc>
        <w:tc>
          <w:tcPr>
            <w:tcW w:w="1815"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提供承诺书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840" w:hRule="atLeast"/>
          <w:jc w:val="center"/>
        </w:trPr>
        <w:tc>
          <w:tcPr>
            <w:tcW w:w="49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11</w:t>
            </w:r>
          </w:p>
        </w:tc>
        <w:tc>
          <w:tcPr>
            <w:tcW w:w="216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开机率</w:t>
            </w:r>
          </w:p>
        </w:tc>
        <w:tc>
          <w:tcPr>
            <w:tcW w:w="51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w:t>
            </w:r>
          </w:p>
        </w:tc>
        <w:tc>
          <w:tcPr>
            <w:tcW w:w="4365" w:type="dxa"/>
            <w:gridSpan w:val="3"/>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保证设备全年开机率≥95%，按一年365天计算，即全年累计停机时间≤18天。若超出上述承诺停机天数，超出一天顺延2天保修；</w:t>
            </w:r>
          </w:p>
        </w:tc>
        <w:tc>
          <w:tcPr>
            <w:tcW w:w="1033"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否</w:t>
            </w:r>
          </w:p>
        </w:tc>
        <w:tc>
          <w:tcPr>
            <w:tcW w:w="1815"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提供承诺书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740" w:hRule="atLeast"/>
          <w:jc w:val="center"/>
        </w:trPr>
        <w:tc>
          <w:tcPr>
            <w:tcW w:w="49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12</w:t>
            </w:r>
          </w:p>
        </w:tc>
        <w:tc>
          <w:tcPr>
            <w:tcW w:w="216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维修工单</w:t>
            </w:r>
          </w:p>
        </w:tc>
        <w:tc>
          <w:tcPr>
            <w:tcW w:w="51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w:t>
            </w:r>
          </w:p>
        </w:tc>
        <w:tc>
          <w:tcPr>
            <w:tcW w:w="4365" w:type="dxa"/>
            <w:gridSpan w:val="3"/>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每次维保任务完成后，实际服务提供商工程师应及时与使用科室和院方维修工程师签字确认；</w:t>
            </w:r>
          </w:p>
        </w:tc>
        <w:tc>
          <w:tcPr>
            <w:tcW w:w="1033"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否</w:t>
            </w:r>
          </w:p>
        </w:tc>
        <w:tc>
          <w:tcPr>
            <w:tcW w:w="1815"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提供承诺书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780" w:hRule="atLeast"/>
          <w:jc w:val="center"/>
        </w:trPr>
        <w:tc>
          <w:tcPr>
            <w:tcW w:w="49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13</w:t>
            </w:r>
          </w:p>
        </w:tc>
        <w:tc>
          <w:tcPr>
            <w:tcW w:w="216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年度服务报告</w:t>
            </w:r>
          </w:p>
        </w:tc>
        <w:tc>
          <w:tcPr>
            <w:tcW w:w="51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w:t>
            </w:r>
          </w:p>
        </w:tc>
        <w:tc>
          <w:tcPr>
            <w:tcW w:w="4365" w:type="dxa"/>
            <w:gridSpan w:val="3"/>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实际服务提供商应按年提供年度服务报告，内容需包括维修单、保养报告、零配件单次维修报价；</w:t>
            </w:r>
          </w:p>
        </w:tc>
        <w:tc>
          <w:tcPr>
            <w:tcW w:w="1033"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否</w:t>
            </w:r>
          </w:p>
        </w:tc>
        <w:tc>
          <w:tcPr>
            <w:tcW w:w="1815"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提供承诺书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840" w:hRule="atLeast"/>
          <w:jc w:val="center"/>
        </w:trPr>
        <w:tc>
          <w:tcPr>
            <w:tcW w:w="49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14</w:t>
            </w:r>
          </w:p>
        </w:tc>
        <w:tc>
          <w:tcPr>
            <w:tcW w:w="216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维保培训</w:t>
            </w:r>
          </w:p>
        </w:tc>
        <w:tc>
          <w:tcPr>
            <w:tcW w:w="51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w:t>
            </w:r>
          </w:p>
        </w:tc>
        <w:tc>
          <w:tcPr>
            <w:tcW w:w="4365" w:type="dxa"/>
            <w:gridSpan w:val="3"/>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每年应提供不少于2人次此类型设备的维修培训，除往返程时间，培训时间不低于3日，并颁发相关培训证书。</w:t>
            </w:r>
          </w:p>
        </w:tc>
        <w:tc>
          <w:tcPr>
            <w:tcW w:w="1033"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否</w:t>
            </w:r>
          </w:p>
        </w:tc>
        <w:tc>
          <w:tcPr>
            <w:tcW w:w="1815"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提供年度培训计划</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60" w:hRule="atLeast"/>
          <w:jc w:val="center"/>
        </w:trPr>
        <w:tc>
          <w:tcPr>
            <w:tcW w:w="10380" w:type="dxa"/>
            <w:gridSpan w:val="10"/>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b/>
                <w:bCs/>
                <w:i w:val="0"/>
                <w:color w:val="000000"/>
                <w:kern w:val="0"/>
                <w:sz w:val="20"/>
                <w:szCs w:val="20"/>
                <w:u w:val="none"/>
                <w:bdr w:val="none" w:color="auto" w:sz="0" w:space="0"/>
                <w:lang w:val="en-US" w:eastAsia="zh-CN" w:bidi="ar"/>
              </w:rPr>
              <w:t>经济要求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00" w:hRule="atLeast"/>
          <w:jc w:val="center"/>
        </w:trPr>
        <w:tc>
          <w:tcPr>
            <w:tcW w:w="49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1</w:t>
            </w:r>
          </w:p>
        </w:tc>
        <w:tc>
          <w:tcPr>
            <w:tcW w:w="216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交货时间、交货地点</w:t>
            </w:r>
          </w:p>
        </w:tc>
        <w:tc>
          <w:tcPr>
            <w:tcW w:w="51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w:t>
            </w:r>
          </w:p>
        </w:tc>
        <w:tc>
          <w:tcPr>
            <w:tcW w:w="4365" w:type="dxa"/>
            <w:gridSpan w:val="3"/>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合同签订后，根据需求方要求交付，交付时间及地点由需求方指定</w:t>
            </w:r>
          </w:p>
        </w:tc>
        <w:tc>
          <w:tcPr>
            <w:tcW w:w="1033"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否</w:t>
            </w:r>
          </w:p>
        </w:tc>
        <w:tc>
          <w:tcPr>
            <w:tcW w:w="1815"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提供承诺书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20" w:hRule="atLeast"/>
          <w:jc w:val="center"/>
        </w:trPr>
        <w:tc>
          <w:tcPr>
            <w:tcW w:w="49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2</w:t>
            </w:r>
          </w:p>
        </w:tc>
        <w:tc>
          <w:tcPr>
            <w:tcW w:w="216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付款及结算方式</w:t>
            </w:r>
          </w:p>
        </w:tc>
        <w:tc>
          <w:tcPr>
            <w:tcW w:w="51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w:t>
            </w:r>
          </w:p>
        </w:tc>
        <w:tc>
          <w:tcPr>
            <w:tcW w:w="4365" w:type="dxa"/>
            <w:gridSpan w:val="3"/>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每半年支付当年维保费的50%</w:t>
            </w:r>
          </w:p>
        </w:tc>
        <w:tc>
          <w:tcPr>
            <w:tcW w:w="1033"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否</w:t>
            </w:r>
          </w:p>
        </w:tc>
        <w:tc>
          <w:tcPr>
            <w:tcW w:w="1815"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提供承诺书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760" w:hRule="atLeast"/>
          <w:jc w:val="center"/>
        </w:trPr>
        <w:tc>
          <w:tcPr>
            <w:tcW w:w="49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3</w:t>
            </w:r>
          </w:p>
        </w:tc>
        <w:tc>
          <w:tcPr>
            <w:tcW w:w="216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保密</w:t>
            </w:r>
          </w:p>
        </w:tc>
        <w:tc>
          <w:tcPr>
            <w:tcW w:w="51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w:t>
            </w:r>
          </w:p>
        </w:tc>
        <w:tc>
          <w:tcPr>
            <w:tcW w:w="4365" w:type="dxa"/>
            <w:gridSpan w:val="3"/>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实际服务提供商在维保期间进行服务时，不得将设备内患者信息及相关文件，用存储介质拷贝或连接外网传输。</w:t>
            </w:r>
          </w:p>
        </w:tc>
        <w:tc>
          <w:tcPr>
            <w:tcW w:w="1033"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否</w:t>
            </w:r>
          </w:p>
        </w:tc>
        <w:tc>
          <w:tcPr>
            <w:tcW w:w="1815"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提供承诺书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560" w:hRule="atLeast"/>
          <w:jc w:val="center"/>
        </w:trPr>
        <w:tc>
          <w:tcPr>
            <w:tcW w:w="49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4</w:t>
            </w:r>
          </w:p>
        </w:tc>
        <w:tc>
          <w:tcPr>
            <w:tcW w:w="216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备件要求</w:t>
            </w:r>
          </w:p>
        </w:tc>
        <w:tc>
          <w:tcPr>
            <w:tcW w:w="51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w:t>
            </w:r>
          </w:p>
        </w:tc>
        <w:tc>
          <w:tcPr>
            <w:tcW w:w="4365" w:type="dxa"/>
            <w:gridSpan w:val="3"/>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所更换的备件应为原厂全新备件，满足设备运行要求，不会给设备带来危害。</w:t>
            </w:r>
          </w:p>
        </w:tc>
        <w:tc>
          <w:tcPr>
            <w:tcW w:w="1033"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否</w:t>
            </w:r>
          </w:p>
        </w:tc>
        <w:tc>
          <w:tcPr>
            <w:tcW w:w="1815"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提供承诺书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560" w:hRule="atLeast"/>
          <w:jc w:val="center"/>
        </w:trPr>
        <w:tc>
          <w:tcPr>
            <w:tcW w:w="49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5</w:t>
            </w:r>
          </w:p>
        </w:tc>
        <w:tc>
          <w:tcPr>
            <w:tcW w:w="216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质量保证</w:t>
            </w:r>
          </w:p>
        </w:tc>
        <w:tc>
          <w:tcPr>
            <w:tcW w:w="51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w:t>
            </w:r>
          </w:p>
        </w:tc>
        <w:tc>
          <w:tcPr>
            <w:tcW w:w="4365" w:type="dxa"/>
            <w:gridSpan w:val="3"/>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维保期结束前15天内所更换配件仍需遵循配件单独保修时间</w:t>
            </w:r>
          </w:p>
        </w:tc>
        <w:tc>
          <w:tcPr>
            <w:tcW w:w="1033"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否</w:t>
            </w:r>
          </w:p>
        </w:tc>
        <w:tc>
          <w:tcPr>
            <w:tcW w:w="1815"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提供承诺书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00" w:hRule="atLeast"/>
          <w:jc w:val="center"/>
        </w:trPr>
        <w:tc>
          <w:tcPr>
            <w:tcW w:w="49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6</w:t>
            </w:r>
          </w:p>
        </w:tc>
        <w:tc>
          <w:tcPr>
            <w:tcW w:w="216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服务期限</w:t>
            </w:r>
          </w:p>
        </w:tc>
        <w:tc>
          <w:tcPr>
            <w:tcW w:w="51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w:t>
            </w:r>
          </w:p>
        </w:tc>
        <w:tc>
          <w:tcPr>
            <w:tcW w:w="4365" w:type="dxa"/>
            <w:gridSpan w:val="3"/>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2年</w:t>
            </w:r>
          </w:p>
        </w:tc>
        <w:tc>
          <w:tcPr>
            <w:tcW w:w="1033"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否</w:t>
            </w:r>
          </w:p>
        </w:tc>
        <w:tc>
          <w:tcPr>
            <w:tcW w:w="1815"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bdr w:val="none" w:color="auto" w:sz="0" w:space="0"/>
                <w:lang w:val="en-US" w:eastAsia="zh-CN" w:bidi="ar"/>
              </w:rPr>
              <w:t>提供承诺书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28" w:hRule="atLeast"/>
          <w:jc w:val="center"/>
        </w:trPr>
        <w:tc>
          <w:tcPr>
            <w:tcW w:w="10380" w:type="dxa"/>
            <w:gridSpan w:val="10"/>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default" w:ascii="Times New Roman" w:hAnsi="Times New Roman" w:eastAsia="宋体" w:cs="Times New Roman"/>
                <w:i w:val="0"/>
                <w:iCs w:val="0"/>
                <w:color w:val="000000"/>
                <w:kern w:val="0"/>
                <w:sz w:val="18"/>
                <w:szCs w:val="18"/>
              </w:rPr>
            </w:pPr>
            <w:r>
              <w:rPr>
                <w:rFonts w:hint="default" w:ascii="Times New Roman" w:hAnsi="Times New Roman" w:eastAsia="宋体" w:cs="Times New Roman"/>
                <w:i w:val="0"/>
                <w:iCs w:val="0"/>
                <w:color w:val="000000"/>
                <w:kern w:val="0"/>
                <w:sz w:val="18"/>
                <w:szCs w:val="18"/>
              </w:rPr>
              <w:t>注：1.★指标为必须响应指标，任意一项不满足要求即做废标处理；</w:t>
            </w:r>
          </w:p>
          <w:p>
            <w:pPr>
              <w:keepNext w:val="0"/>
              <w:keepLines w:val="0"/>
              <w:pageBreakBefore w:val="0"/>
              <w:widowControl/>
              <w:suppressLineNumbers w:val="0"/>
              <w:kinsoku/>
              <w:wordWrap/>
              <w:overflowPunct/>
              <w:topLinePunct w:val="0"/>
              <w:autoSpaceDE/>
              <w:autoSpaceDN/>
              <w:bidi w:val="0"/>
              <w:adjustRightInd/>
              <w:snapToGrid/>
              <w:ind w:firstLine="360" w:firstLineChars="200"/>
              <w:jc w:val="left"/>
              <w:textAlignment w:val="center"/>
              <w:rPr>
                <w:rFonts w:hint="default" w:ascii="Times New Roman" w:hAnsi="Times New Roman" w:eastAsia="宋体" w:cs="Times New Roman"/>
                <w:i w:val="0"/>
                <w:color w:val="000000"/>
                <w:sz w:val="21"/>
                <w:szCs w:val="21"/>
                <w:u w:val="none"/>
              </w:rPr>
            </w:pPr>
            <w:r>
              <w:rPr>
                <w:rFonts w:hint="default" w:ascii="Times New Roman" w:hAnsi="Times New Roman" w:eastAsia="宋体" w:cs="Times New Roman"/>
                <w:i w:val="0"/>
                <w:iCs w:val="0"/>
                <w:color w:val="000000"/>
                <w:kern w:val="0"/>
                <w:sz w:val="18"/>
                <w:szCs w:val="18"/>
              </w:rPr>
              <w:t>2.★</w:t>
            </w:r>
            <w:r>
              <w:rPr>
                <w:rFonts w:hint="default" w:ascii="Times New Roman" w:hAnsi="Times New Roman" w:eastAsia="宋体" w:cs="Times New Roman"/>
                <w:i w:val="0"/>
                <w:iCs w:val="0"/>
                <w:color w:val="000000"/>
                <w:kern w:val="0"/>
                <w:sz w:val="18"/>
                <w:szCs w:val="18"/>
                <w:lang w:val="en-US" w:eastAsia="zh-CN"/>
              </w:rPr>
              <w:t>及▲</w:t>
            </w:r>
            <w:r>
              <w:rPr>
                <w:rFonts w:hint="default" w:ascii="Times New Roman" w:hAnsi="Times New Roman" w:eastAsia="宋体" w:cs="Times New Roman"/>
                <w:i w:val="0"/>
                <w:iCs w:val="0"/>
                <w:color w:val="000000"/>
                <w:kern w:val="0"/>
                <w:sz w:val="18"/>
                <w:szCs w:val="18"/>
              </w:rPr>
              <w:t>标识的指标，需逐条按备注要求提供证明材料，未明确的可由企业提供承诺</w:t>
            </w:r>
            <w:r>
              <w:rPr>
                <w:rFonts w:hint="default" w:ascii="Times New Roman" w:hAnsi="Times New Roman" w:eastAsia="宋体" w:cs="Times New Roman"/>
                <w:i w:val="0"/>
                <w:iCs w:val="0"/>
                <w:color w:val="000000"/>
                <w:kern w:val="0"/>
                <w:sz w:val="18"/>
                <w:szCs w:val="18"/>
                <w:lang w:eastAsia="zh-CN"/>
              </w:rPr>
              <w:t>。</w:t>
            </w:r>
          </w:p>
        </w:tc>
      </w:tr>
    </w:tbl>
    <w:p>
      <w:pPr>
        <w:pStyle w:val="2"/>
      </w:pPr>
    </w:p>
    <w:p>
      <w:pPr>
        <w:pStyle w:val="2"/>
      </w:pPr>
    </w:p>
    <w:p>
      <w:pPr>
        <w:pStyle w:val="2"/>
      </w:pPr>
    </w:p>
    <w:sectPr>
      <w:pgSz w:w="11906" w:h="16838"/>
      <w:pgMar w:top="1440" w:right="1800" w:bottom="1440" w:left="1800" w:header="851" w:footer="992" w:gutter="0"/>
      <w:pgBorders w:offsetFrom="page">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8"/>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方正小标宋简体">
    <w:altName w:val="宋体-方正超大字符集"/>
    <w:panose1 w:val="00000000000000000000"/>
    <w:charset w:val="00"/>
    <w:family w:val="auto"/>
    <w:pitch w:val="default"/>
    <w:sig w:usb0="00000000" w:usb1="00000000" w:usb2="00000000" w:usb3="00000000" w:csb0="00000000" w:csb1="00000000"/>
  </w:font>
  <w:font w:name="宋体-方正超大字符集">
    <w:panose1 w:val="03000509000000000000"/>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CE47A74"/>
    <w:rsid w:val="00C275F2"/>
    <w:rsid w:val="0417711A"/>
    <w:rsid w:val="0776313E"/>
    <w:rsid w:val="0E4E26E4"/>
    <w:rsid w:val="0E697ED2"/>
    <w:rsid w:val="0EA05D95"/>
    <w:rsid w:val="0F10689A"/>
    <w:rsid w:val="0F29126A"/>
    <w:rsid w:val="12AA1277"/>
    <w:rsid w:val="15901BB5"/>
    <w:rsid w:val="187575BF"/>
    <w:rsid w:val="1CE47A74"/>
    <w:rsid w:val="1CF64E69"/>
    <w:rsid w:val="1D2762DF"/>
    <w:rsid w:val="2255653A"/>
    <w:rsid w:val="26D44EE5"/>
    <w:rsid w:val="27147707"/>
    <w:rsid w:val="2A1104DE"/>
    <w:rsid w:val="2B9D1FDF"/>
    <w:rsid w:val="2BB40B25"/>
    <w:rsid w:val="2C48216D"/>
    <w:rsid w:val="2F1C2362"/>
    <w:rsid w:val="2F31235C"/>
    <w:rsid w:val="2FE225DA"/>
    <w:rsid w:val="316F67A2"/>
    <w:rsid w:val="34012480"/>
    <w:rsid w:val="35A13BBE"/>
    <w:rsid w:val="35B464C1"/>
    <w:rsid w:val="362C666B"/>
    <w:rsid w:val="38D15204"/>
    <w:rsid w:val="395F5254"/>
    <w:rsid w:val="3E7E57C4"/>
    <w:rsid w:val="3EDC2241"/>
    <w:rsid w:val="40662CE6"/>
    <w:rsid w:val="428521FA"/>
    <w:rsid w:val="42F078BF"/>
    <w:rsid w:val="43353E85"/>
    <w:rsid w:val="43AF33F4"/>
    <w:rsid w:val="443E5628"/>
    <w:rsid w:val="45EA7DE8"/>
    <w:rsid w:val="48B80DE0"/>
    <w:rsid w:val="4A232AB8"/>
    <w:rsid w:val="4A995649"/>
    <w:rsid w:val="4E3E36FB"/>
    <w:rsid w:val="503C14D6"/>
    <w:rsid w:val="50C83518"/>
    <w:rsid w:val="55B92F41"/>
    <w:rsid w:val="578560AC"/>
    <w:rsid w:val="58F474A6"/>
    <w:rsid w:val="5CB80D4B"/>
    <w:rsid w:val="5DF91893"/>
    <w:rsid w:val="64EE413F"/>
    <w:rsid w:val="65DF679A"/>
    <w:rsid w:val="65E36AFE"/>
    <w:rsid w:val="66BE2F36"/>
    <w:rsid w:val="6B2471F6"/>
    <w:rsid w:val="6F071D1B"/>
    <w:rsid w:val="70F779BD"/>
    <w:rsid w:val="72072179"/>
    <w:rsid w:val="74793341"/>
    <w:rsid w:val="75C939EA"/>
    <w:rsid w:val="782F4201"/>
    <w:rsid w:val="7B705122"/>
    <w:rsid w:val="7C271D02"/>
    <w:rsid w:val="7C442606"/>
    <w:rsid w:val="7D11680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Layout w:type="fixed"/>
      <w:tblCellMar>
        <w:top w:w="0" w:type="dxa"/>
        <w:left w:w="108" w:type="dxa"/>
        <w:bottom w:w="0" w:type="dxa"/>
        <w:right w:w="108" w:type="dxa"/>
      </w:tblCellMar>
    </w:tblPr>
  </w:style>
  <w:style w:type="paragraph" w:customStyle="1" w:styleId="2">
    <w:name w:val="Default"/>
    <w:unhideWhenUsed/>
    <w:qFormat/>
    <w:uiPriority w:val="0"/>
    <w:pPr>
      <w:widowControl w:val="0"/>
      <w:autoSpaceDE w:val="0"/>
      <w:autoSpaceDN w:val="0"/>
    </w:pPr>
    <w:rPr>
      <w:rFonts w:hint="eastAsia" w:ascii="黑体" w:hAnsi="黑体" w:eastAsia="黑体" w:cs="Times New Roman"/>
      <w:color w:val="000000"/>
      <w:sz w:val="24"/>
      <w:szCs w:val="22"/>
      <w:lang w:val="en-US" w:eastAsia="zh-CN" w:bidi="ar-SA"/>
    </w:rPr>
  </w:style>
  <w:style w:type="character" w:customStyle="1" w:styleId="5">
    <w:name w:val="font31"/>
    <w:basedOn w:val="4"/>
    <w:qFormat/>
    <w:uiPriority w:val="0"/>
    <w:rPr>
      <w:rFonts w:hint="eastAsia" w:ascii="黑体" w:hAnsi="宋体" w:eastAsia="黑体" w:cs="黑体"/>
      <w:color w:val="000000"/>
      <w:sz w:val="20"/>
      <w:szCs w:val="20"/>
      <w:u w:val="none"/>
    </w:rPr>
  </w:style>
  <w:style w:type="character" w:customStyle="1" w:styleId="6">
    <w:name w:val="font11"/>
    <w:basedOn w:val="4"/>
    <w:qFormat/>
    <w:uiPriority w:val="0"/>
    <w:rPr>
      <w:rFonts w:hint="eastAsia" w:ascii="黑体" w:hAnsi="宋体" w:eastAsia="黑体" w:cs="黑体"/>
      <w:color w:val="000000"/>
      <w:sz w:val="20"/>
      <w:szCs w:val="20"/>
      <w:u w:val="none"/>
    </w:rPr>
  </w:style>
  <w:style w:type="character" w:customStyle="1" w:styleId="7">
    <w:name w:val="font61"/>
    <w:basedOn w:val="4"/>
    <w:qFormat/>
    <w:uiPriority w:val="0"/>
    <w:rPr>
      <w:rFonts w:hint="eastAsia" w:ascii="黑体" w:hAnsi="宋体" w:eastAsia="黑体" w:cs="黑体"/>
      <w:i/>
      <w:color w:val="000000"/>
      <w:sz w:val="20"/>
      <w:szCs w:val="20"/>
      <w:u w:val="none"/>
    </w:rPr>
  </w:style>
  <w:style w:type="character" w:customStyle="1" w:styleId="8">
    <w:name w:val="font101"/>
    <w:basedOn w:val="4"/>
    <w:qFormat/>
    <w:uiPriority w:val="0"/>
    <w:rPr>
      <w:rFonts w:hint="eastAsia" w:ascii="宋体" w:hAnsi="宋体" w:eastAsia="宋体" w:cs="宋体"/>
      <w:i/>
      <w:color w:val="000000"/>
      <w:sz w:val="20"/>
      <w:szCs w:val="20"/>
      <w:u w:val="none"/>
    </w:rPr>
  </w:style>
  <w:style w:type="character" w:customStyle="1" w:styleId="9">
    <w:name w:val="font51"/>
    <w:basedOn w:val="4"/>
    <w:qFormat/>
    <w:uiPriority w:val="0"/>
    <w:rPr>
      <w:rFonts w:hint="eastAsia" w:ascii="黑体" w:hAnsi="宋体" w:eastAsia="黑体" w:cs="黑体"/>
      <w:color w:val="000000"/>
      <w:sz w:val="20"/>
      <w:szCs w:val="20"/>
      <w:u w:val="none"/>
    </w:rPr>
  </w:style>
  <w:style w:type="character" w:customStyle="1" w:styleId="10">
    <w:name w:val="font112"/>
    <w:basedOn w:val="4"/>
    <w:qFormat/>
    <w:uiPriority w:val="0"/>
    <w:rPr>
      <w:rFonts w:hint="eastAsia" w:ascii="黑体" w:hAnsi="宋体" w:eastAsia="黑体" w:cs="黑体"/>
      <w:i/>
      <w:color w:val="000000"/>
      <w:sz w:val="20"/>
      <w:szCs w:val="20"/>
      <w:u w:val="none"/>
    </w:rPr>
  </w:style>
  <w:style w:type="character" w:customStyle="1" w:styleId="11">
    <w:name w:val="font131"/>
    <w:basedOn w:val="4"/>
    <w:qFormat/>
    <w:uiPriority w:val="0"/>
    <w:rPr>
      <w:rFonts w:hint="eastAsia" w:ascii="黑体" w:hAnsi="宋体" w:eastAsia="黑体" w:cs="黑体"/>
      <w:i/>
      <w:color w:val="FF0000"/>
      <w:sz w:val="20"/>
      <w:szCs w:val="20"/>
      <w:u w:val="none"/>
    </w:rPr>
  </w:style>
  <w:style w:type="character" w:customStyle="1" w:styleId="12">
    <w:name w:val="font91"/>
    <w:basedOn w:val="4"/>
    <w:qFormat/>
    <w:uiPriority w:val="0"/>
    <w:rPr>
      <w:rFonts w:ascii="Wingdings" w:hAnsi="Wingdings" w:cs="Wingdings"/>
      <w:color w:val="000000"/>
      <w:sz w:val="20"/>
      <w:szCs w:val="20"/>
      <w:u w:val="none"/>
    </w:rPr>
  </w:style>
  <w:style w:type="character" w:customStyle="1" w:styleId="13">
    <w:name w:val="font41"/>
    <w:basedOn w:val="4"/>
    <w:qFormat/>
    <w:uiPriority w:val="0"/>
    <w:rPr>
      <w:rFonts w:hint="eastAsia" w:ascii="宋体" w:hAnsi="宋体" w:eastAsia="宋体" w:cs="宋体"/>
      <w:color w:val="000000"/>
      <w:sz w:val="20"/>
      <w:szCs w:val="20"/>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潮州市直及下属单位</Company>
  <Pages>1</Pages>
  <Words>0</Words>
  <Characters>0</Characters>
  <Lines>0</Lines>
  <Paragraphs>0</Paragraphs>
  <TotalTime>1</TotalTime>
  <ScaleCrop>false</ScaleCrop>
  <LinksUpToDate>false</LinksUpToDate>
  <CharactersWithSpaces>0</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2025-02-20T02:59:00Z</dcterms:created>
  <dc:creator>DOCTOR</dc:creator>
  <cp:lastModifiedBy>DOCTOR</cp:lastModifiedBy>
  <dcterms:modified xsi:type="dcterms:W3CDTF">2025-02-25T03:07:31Z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ies>
</file>