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9641" w:type="dxa"/>
        <w:jc w:val="center"/>
        <w:tblInd w:w="1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776"/>
        <w:gridCol w:w="653"/>
        <w:gridCol w:w="3"/>
        <w:gridCol w:w="1236"/>
        <w:gridCol w:w="2837"/>
        <w:gridCol w:w="811"/>
        <w:gridCol w:w="629"/>
        <w:gridCol w:w="255"/>
        <w:gridCol w:w="8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96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24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2024-JQ06-W5065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耳鼻喉科诊疗台</w:t>
            </w:r>
          </w:p>
        </w:tc>
        <w:tc>
          <w:tcPr>
            <w:tcW w:w="16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64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适用于门诊常规检查及治疗，如鼻腔与咽喉喷药、分泌物及耳部耵聍的吸引、间接喉镜检查等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exac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诊疗台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治疗台材质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治疗台材质需采用主体不锈钢，人工大理石台面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治疗台规格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 xml:space="preserve">治疗台规格（L）≥1300～1400 mm </w:t>
            </w:r>
            <w:r>
              <w:rPr>
                <w:rStyle w:val="9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×</w:t>
            </w: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（W）≥550～650 mm，带一体式书写台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正压系统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正压系统需在压力</w:t>
            </w:r>
            <w:r>
              <w:rPr>
                <w:rStyle w:val="9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≤</w:t>
            </w: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0.15MP自动运行充气，</w:t>
            </w:r>
            <w:r>
              <w:rPr>
                <w:rStyle w:val="9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≥</w:t>
            </w: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0.5MP时自动停止、停止状态可正常工作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自动储气功能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正压系统需具有自动储气装置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喷枪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需具有喷枪</w:t>
            </w:r>
            <w:r>
              <w:rPr>
                <w:rStyle w:val="9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≥</w:t>
            </w: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4支（至少3支鼻用，1支喉用），提起即用、无需插拔，喷枪头与手柄底座采用快插拔连接方式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保护套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喷枪药液瓶需具有不锈钢保护套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正压管路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正压管路需采用隐藏式设计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可拆卸中芯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喷枪嘴管需具有可拆卸中芯，中芯内径≤0.3mm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注册证、说明书等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负压系统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负压系统需为无油泵，免维护，流量</w:t>
            </w:r>
            <w:r>
              <w:rPr>
                <w:rStyle w:val="9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≥</w:t>
            </w: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1.7cfm(2.98m</w:t>
            </w:r>
            <w:r>
              <w:rPr>
                <w:rStyle w:val="9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³</w:t>
            </w: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/h)；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负压控制开关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负压控制开关需为提起自动工作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3.11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控制面板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控制面板需采用密封触控式设计，防水防尘，带有声音和LED反馈提示；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3.12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间接喉镜加热功能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需具备间接喉镜加热功能，加热按压开关与加热装置为一体式，具有防尘盖、按压打开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3.13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过滤装置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 xml:space="preserve">吸引管路及排气口需具有过滤装置，负压排气管路采用中空纤维膜过滤器，最小可以过滤0.01 </w:t>
            </w:r>
            <w:r>
              <w:rPr>
                <w:rStyle w:val="9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µ</w:t>
            </w: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m细菌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注册证、说明书等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3.14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污物收集主瓶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具有吸引污物收集主瓶1个(容</w:t>
            </w:r>
            <w:r>
              <w:rPr>
                <w:rStyle w:val="9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≥</w:t>
            </w: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3L)，具有滑扣锁紧密封防溢流阀盖；附瓶2（容量</w:t>
            </w:r>
            <w:r>
              <w:rPr>
                <w:rStyle w:val="9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≥</w:t>
            </w: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500cc)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3.15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静音污物收纳盘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污物收集需具有静音污物收纳盘</w:t>
            </w:r>
            <w:r>
              <w:rPr>
                <w:rStyle w:val="9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≥</w:t>
            </w: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1个、污物收纳罐</w:t>
            </w:r>
            <w:r>
              <w:rPr>
                <w:rStyle w:val="9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≥</w:t>
            </w: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2个；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3.16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咽鼓管吹张功能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需具有咽鼓管吹张功能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3.17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听诊装置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需具有配合咽鼓管吹张的听诊装置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3.18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反射灯支臂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反射灯支臂</w:t>
            </w:r>
            <w:r>
              <w:rPr>
                <w:rStyle w:val="9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≥</w:t>
            </w: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3关节，需为阻尼平衡支臂，支臂各关节处需具有锁定功能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3.19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器械收纳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器械收纳包括：器械收纳盘（附推拉卷帘式盖板）</w:t>
            </w:r>
            <w:r>
              <w:rPr>
                <w:rStyle w:val="9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≥</w:t>
            </w: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1个、储物罐</w:t>
            </w:r>
            <w:r>
              <w:rPr>
                <w:rStyle w:val="9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≥</w:t>
            </w: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5个、带旋转托盘的药液瓶</w:t>
            </w:r>
            <w:r>
              <w:rPr>
                <w:rStyle w:val="9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≥</w:t>
            </w: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13个、储物抽屉</w:t>
            </w:r>
            <w:r>
              <w:rPr>
                <w:rStyle w:val="9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≥</w:t>
            </w:r>
            <w:r>
              <w:rPr>
                <w:rStyle w:val="8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1个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低压电10V输出端子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需具有低压电10V输出端子1组，可用于眼震颤镜等外展设备的连接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电动患者椅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电动患者椅控制模式≥3种，电动升降行程≥200mm、电动背板倾斜85°~180°、旋转≥340°，180°水平，扶手360°旋转，上下及前后复位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医生座椅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医生痤椅需上个月有弧线形靠背，靠背可旋转至医生的侧方和前方给予支撑，高度调节范围445～610mm。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LED光源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冷光源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需为原装进口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灯泡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灯泡需为LED 灯泡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灯泡使用寿命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单个灯泡使用寿命≧1万小时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色温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色温≧5800K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自动光源调节功能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需具备自动光源调节功能，连接摄像主机可根据应用需要，自动调整光源亮度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LED双灯设计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需具有LED双灯设计，即光源主机有2个光纤输出接口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感应保护功能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需具有自感应保护功能，拔出光纤，自动切断灯泡电源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导光束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直径≥3.5mm，长度≥230CM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4K宽屏液晶监视器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屏幕尺寸≥31英寸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分辨率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分辨率≥4096X2304P，输出模式16：9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接口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需大于等于4组3G SDI数字接口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配置要求1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治疗台×1、电动患者椅×1、医生椅×1、LED光源（含导光索）×1、4K宽屏液晶监视器×1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无配套耗材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964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签订合同付（预付）0%，物资到货（服务完成）验收后付95%。验收合格后满1年无质量问题支付剩余5%（不超过5%）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0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履约保证金/质量保证金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1"/>
                <w:rFonts w:hint="default" w:ascii="Times New Roman" w:hAnsi="Times New Roman" w:eastAsia="宋体" w:cs="Times New Roman"/>
                <w:i w:val="0"/>
                <w:iCs w:val="0"/>
                <w:sz w:val="24"/>
                <w:szCs w:val="24"/>
                <w:lang w:val="en-US" w:eastAsia="zh-CN" w:bidi="ar"/>
              </w:rPr>
              <w:t>保修年限不低于</w:t>
            </w:r>
            <w:r>
              <w:rPr>
                <w:rStyle w:val="12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3</w:t>
            </w:r>
            <w:r>
              <w:rPr>
                <w:rStyle w:val="11"/>
                <w:rFonts w:hint="default" w:ascii="Times New Roman" w:hAnsi="Times New Roman" w:eastAsia="宋体" w:cs="Times New Roman"/>
                <w:i w:val="0"/>
                <w:iCs w:val="0"/>
                <w:sz w:val="24"/>
                <w:szCs w:val="24"/>
                <w:lang w:val="en-US" w:eastAsia="zh-CN" w:bidi="ar"/>
              </w:rPr>
              <w:t>年，全年故障停机时间不高于5%（按365日/年计算)。</w:t>
            </w:r>
            <w:r>
              <w:rPr>
                <w:rStyle w:val="12"/>
                <w:rFonts w:hint="default" w:ascii="Times New Roman" w:hAnsi="Times New Roman" w:eastAsia="宋体" w:cs="Times New Roman"/>
                <w:i w:val="0"/>
                <w:iCs w:val="0"/>
                <w:lang w:val="en-US" w:eastAsia="zh-CN" w:bidi="ar"/>
              </w:rPr>
              <w:t>故障停机每超出1天，按两倍时间延保。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维修响应时间≤1小时，维修到达现场时间≤4小时。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 10年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  <w:jc w:val="center"/>
        </w:trPr>
        <w:tc>
          <w:tcPr>
            <w:tcW w:w="964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60" w:firstLineChars="200"/>
              <w:jc w:val="left"/>
              <w:textAlignment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★及▲标识的指标，需逐条按备注要求提供证明材料，未明确的可由企业提供承诺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  <w:bookmarkStart w:id="0" w:name="_GoBack"/>
            <w:bookmarkEnd w:id="0"/>
          </w:p>
        </w:tc>
      </w:tr>
    </w:tbl>
    <w:p/>
    <w:p/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47A74"/>
    <w:rsid w:val="0417711A"/>
    <w:rsid w:val="12AA1277"/>
    <w:rsid w:val="1A903D11"/>
    <w:rsid w:val="1CE47A74"/>
    <w:rsid w:val="1CF64E69"/>
    <w:rsid w:val="2255653A"/>
    <w:rsid w:val="26D44EE5"/>
    <w:rsid w:val="2BB40B25"/>
    <w:rsid w:val="2C48216D"/>
    <w:rsid w:val="2F1C2362"/>
    <w:rsid w:val="2FE225DA"/>
    <w:rsid w:val="35B464C1"/>
    <w:rsid w:val="42F078BF"/>
    <w:rsid w:val="4E3E36FB"/>
    <w:rsid w:val="55B92F41"/>
    <w:rsid w:val="5DF91893"/>
    <w:rsid w:val="66BE2F36"/>
    <w:rsid w:val="787106F2"/>
    <w:rsid w:val="7B70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customStyle="1" w:styleId="5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6">
    <w:name w:val="font3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7">
    <w:name w:val="font1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61"/>
    <w:basedOn w:val="4"/>
    <w:qFormat/>
    <w:uiPriority w:val="0"/>
    <w:rPr>
      <w:rFonts w:hint="eastAsia" w:ascii="黑体" w:hAnsi="宋体" w:eastAsia="黑体" w:cs="黑体"/>
      <w:i/>
      <w:color w:val="000000"/>
      <w:sz w:val="20"/>
      <w:szCs w:val="20"/>
      <w:u w:val="none"/>
    </w:rPr>
  </w:style>
  <w:style w:type="character" w:customStyle="1" w:styleId="9">
    <w:name w:val="font101"/>
    <w:basedOn w:val="4"/>
    <w:qFormat/>
    <w:uiPriority w:val="0"/>
    <w:rPr>
      <w:rFonts w:hint="eastAsia" w:ascii="宋体" w:hAnsi="宋体" w:eastAsia="宋体" w:cs="宋体"/>
      <w:i/>
      <w:color w:val="000000"/>
      <w:sz w:val="20"/>
      <w:szCs w:val="20"/>
      <w:u w:val="none"/>
    </w:rPr>
  </w:style>
  <w:style w:type="character" w:customStyle="1" w:styleId="10">
    <w:name w:val="font5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1">
    <w:name w:val="font112"/>
    <w:basedOn w:val="4"/>
    <w:qFormat/>
    <w:uiPriority w:val="0"/>
    <w:rPr>
      <w:rFonts w:hint="eastAsia" w:ascii="黑体" w:hAnsi="宋体" w:eastAsia="黑体" w:cs="黑体"/>
      <w:i/>
      <w:color w:val="000000"/>
      <w:sz w:val="20"/>
      <w:szCs w:val="20"/>
      <w:u w:val="none"/>
    </w:rPr>
  </w:style>
  <w:style w:type="character" w:customStyle="1" w:styleId="12">
    <w:name w:val="font131"/>
    <w:basedOn w:val="4"/>
    <w:qFormat/>
    <w:uiPriority w:val="0"/>
    <w:rPr>
      <w:rFonts w:hint="eastAsia" w:ascii="黑体" w:hAnsi="宋体" w:eastAsia="黑体" w:cs="黑体"/>
      <w:i/>
      <w:color w:val="FF0000"/>
      <w:sz w:val="20"/>
      <w:szCs w:val="20"/>
      <w:u w:val="none"/>
    </w:rPr>
  </w:style>
  <w:style w:type="character" w:customStyle="1" w:styleId="13">
    <w:name w:val="font91"/>
    <w:basedOn w:val="4"/>
    <w:qFormat/>
    <w:uiPriority w:val="0"/>
    <w:rPr>
      <w:rFonts w:ascii="Wingdings" w:hAnsi="Wingdings" w:cs="Wingdings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2025-02-20T02:59:00Z</dcterms:created>
  <dc:creator>DOCTOR</dc:creator>
  <cp:lastModifiedBy>DOCTOR</cp:lastModifiedBy>
  <dcterms:modified xsi:type="dcterms:W3CDTF">2025-02-25T02:11:05Z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