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</w:pPr>
    </w:p>
    <w:tbl>
      <w:tblPr>
        <w:tblW w:w="10739" w:type="dxa"/>
        <w:jc w:val="center"/>
        <w:tblInd w:w="-120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8"/>
        <w:gridCol w:w="2000"/>
        <w:gridCol w:w="526"/>
        <w:gridCol w:w="23"/>
        <w:gridCol w:w="526"/>
        <w:gridCol w:w="4850"/>
        <w:gridCol w:w="537"/>
        <w:gridCol w:w="395"/>
        <w:gridCol w:w="122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1073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44"/>
                <w:szCs w:val="44"/>
                <w:u w:val="none"/>
                <w:bdr w:val="none" w:color="auto" w:sz="0" w:space="0"/>
                <w:lang w:val="en-US" w:eastAsia="zh-CN" w:bidi="ar"/>
              </w:rPr>
              <w:t>采购需求表（物资类）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  <w:jc w:val="center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编号</w:t>
            </w:r>
          </w:p>
        </w:tc>
        <w:tc>
          <w:tcPr>
            <w:tcW w:w="25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  <w:t>2024-JQ06-W5074</w:t>
            </w:r>
          </w:p>
        </w:tc>
        <w:tc>
          <w:tcPr>
            <w:tcW w:w="5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4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多导睡眠记录仪</w:t>
            </w:r>
          </w:p>
        </w:tc>
        <w:tc>
          <w:tcPr>
            <w:tcW w:w="9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最高限价（万元）</w:t>
            </w: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175（5台）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  <w:jc w:val="center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需求名称</w:t>
            </w:r>
          </w:p>
        </w:tc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参数性质</w:t>
            </w:r>
          </w:p>
        </w:tc>
        <w:tc>
          <w:tcPr>
            <w:tcW w:w="53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需求具体内容</w:t>
            </w:r>
          </w:p>
        </w:tc>
        <w:tc>
          <w:tcPr>
            <w:tcW w:w="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是否量化</w:t>
            </w:r>
          </w:p>
        </w:tc>
        <w:tc>
          <w:tcPr>
            <w:tcW w:w="16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10739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基本要求</w:t>
            </w:r>
          </w:p>
        </w:tc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53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患者入睡状态下，连续记录睡眠时的脑电图、心电图、肌电图、血氧饱和度等指标</w:t>
            </w:r>
          </w:p>
        </w:tc>
        <w:tc>
          <w:tcPr>
            <w:tcW w:w="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6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" w:hRule="atLeast"/>
          <w:jc w:val="center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标准规范</w:t>
            </w:r>
          </w:p>
        </w:tc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53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具备NMPA（CFDA）认证，具备FDA认证</w:t>
            </w:r>
          </w:p>
        </w:tc>
        <w:tc>
          <w:tcPr>
            <w:tcW w:w="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6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认证材料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  <w:jc w:val="center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睡眠障碍筛查测评</w:t>
            </w:r>
          </w:p>
        </w:tc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53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设备配备睡眠障碍筛查测评量表</w:t>
            </w:r>
          </w:p>
        </w:tc>
        <w:tc>
          <w:tcPr>
            <w:tcW w:w="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6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软著证明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7" w:hRule="atLeast"/>
          <w:jc w:val="center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采集盒导联</w:t>
            </w:r>
          </w:p>
        </w:tc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▲</w:t>
            </w:r>
          </w:p>
        </w:tc>
        <w:tc>
          <w:tcPr>
            <w:tcW w:w="53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44通道（包括脑电≥8通道、肌电≥3通道、眼电≥2通道、压力口鼻气流≥2通道、心电、热敏口鼻气流、血氧饱和度、胸呼吸运动、腹呼吸运动、脉率、脉博波形、鼾声、体位、PTT、左腿动、右腿动、压力滴定各1通道、扩展通道≥16个）</w:t>
            </w:r>
          </w:p>
        </w:tc>
        <w:tc>
          <w:tcPr>
            <w:tcW w:w="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6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  <w:jc w:val="center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显示屏</w:t>
            </w:r>
          </w:p>
        </w:tc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主机具有显示屏，可实时显示记录状态、蓝牙连接状态、电池电量、剩余内存容量等信息；同时具有物理按钮，用于患者事件标记</w:t>
            </w:r>
          </w:p>
        </w:tc>
        <w:tc>
          <w:tcPr>
            <w:tcW w:w="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6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录音功能</w:t>
            </w:r>
          </w:p>
        </w:tc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主机内置麦克风录音功能，可检测环境声音，并解析出实际鼾声波形</w:t>
            </w:r>
          </w:p>
        </w:tc>
        <w:tc>
          <w:tcPr>
            <w:tcW w:w="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6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集成化设计</w:t>
            </w:r>
          </w:p>
        </w:tc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▲</w:t>
            </w:r>
          </w:p>
        </w:tc>
        <w:tc>
          <w:tcPr>
            <w:tcW w:w="53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脑电电极线和眼电电极线集成到一根主电缆线</w:t>
            </w:r>
          </w:p>
        </w:tc>
        <w:tc>
          <w:tcPr>
            <w:tcW w:w="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6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  <w:jc w:val="center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网络数字视频</w:t>
            </w:r>
          </w:p>
        </w:tc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▲</w:t>
            </w:r>
          </w:p>
        </w:tc>
        <w:tc>
          <w:tcPr>
            <w:tcW w:w="53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配备红外高清IP网络数字视频，提供画中画（整体，局部特征）功能，记录帧频及图像大小可调，视频编辑工具可以任意剪辑</w:t>
            </w:r>
          </w:p>
        </w:tc>
        <w:tc>
          <w:tcPr>
            <w:tcW w:w="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6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  <w:jc w:val="center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血氧传感器连接方式</w:t>
            </w:r>
          </w:p>
        </w:tc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通过蓝牙与主机无线连接，以腕表方式穿戴，且血氧采集器具有显示屏，可实时显示血氧、脉率、蓝牙连接状态、电池剩余容量等信息</w:t>
            </w:r>
          </w:p>
        </w:tc>
        <w:tc>
          <w:tcPr>
            <w:tcW w:w="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6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血氧传感器供电方式</w:t>
            </w:r>
          </w:p>
        </w:tc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血氧采集器采用内置锂电池供电</w:t>
            </w:r>
          </w:p>
        </w:tc>
        <w:tc>
          <w:tcPr>
            <w:tcW w:w="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6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  <w:jc w:val="center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适用范围</w:t>
            </w:r>
          </w:p>
        </w:tc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睡眠软件符合最新的AASM标准，R&amp;K和AASM互相转换，具有全中文操作界面、全中文报告，并具有婴幼儿、儿童、成人三种分析模式</w:t>
            </w:r>
          </w:p>
        </w:tc>
        <w:tc>
          <w:tcPr>
            <w:tcW w:w="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6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jc w:val="center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软件分析方式</w:t>
            </w: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软件具备在记录病人数据的同时可进行实时自动或手动分析</w:t>
            </w:r>
          </w:p>
        </w:tc>
        <w:tc>
          <w:tcPr>
            <w:tcW w:w="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6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  <w:jc w:val="center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信号分析</w:t>
            </w:r>
          </w:p>
        </w:tc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▲</w:t>
            </w:r>
          </w:p>
        </w:tc>
        <w:tc>
          <w:tcPr>
            <w:tcW w:w="53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高频信号（如：EEG，ECG，EMG，EOG）与低频信号（如血氧、口鼻气流、体位、腿动等）分别采用≥15种扫描速度同屏显示</w:t>
            </w:r>
          </w:p>
        </w:tc>
        <w:tc>
          <w:tcPr>
            <w:tcW w:w="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6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  <w:jc w:val="center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分析软件</w:t>
            </w:r>
          </w:p>
        </w:tc>
        <w:tc>
          <w:tcPr>
            <w:tcW w:w="5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至少包含睡眠分期、呼吸事件、心血管事件分析、睡眠微结构分析、体位分析、腿动分析、微觉醒事件分析、异态睡眠分析等</w:t>
            </w:r>
          </w:p>
        </w:tc>
        <w:tc>
          <w:tcPr>
            <w:tcW w:w="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6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4" w:hRule="atLeast"/>
          <w:jc w:val="center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睡眠紊乱事件自动分析软件</w:t>
            </w:r>
          </w:p>
        </w:tc>
        <w:tc>
          <w:tcPr>
            <w:tcW w:w="5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至少包含呼吸事件、血氧饱和度、自发性微觉醒、运动相关性微觉醒、呼吸相关性微觉醒、PLM腿动、鼾声及其他自定义事件</w:t>
            </w:r>
          </w:p>
        </w:tc>
        <w:tc>
          <w:tcPr>
            <w:tcW w:w="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6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  <w:jc w:val="center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教学软件</w:t>
            </w:r>
          </w:p>
        </w:tc>
        <w:tc>
          <w:tcPr>
            <w:tcW w:w="5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▲</w:t>
            </w:r>
          </w:p>
        </w:tc>
        <w:tc>
          <w:tcPr>
            <w:tcW w:w="53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不同医生可对同一病例进行分析，分析结果可进行匹配对比，软件能自动标记不同之处，并提供链接快速跳转相应数据界面，实现教学模式</w:t>
            </w:r>
          </w:p>
        </w:tc>
        <w:tc>
          <w:tcPr>
            <w:tcW w:w="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6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报警安全指标</w:t>
            </w:r>
          </w:p>
        </w:tc>
        <w:tc>
          <w:tcPr>
            <w:tcW w:w="5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采集时病人发生异常情况，如血氧过低、脉率异常等可声光报警</w:t>
            </w:r>
          </w:p>
        </w:tc>
        <w:tc>
          <w:tcPr>
            <w:tcW w:w="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6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0" w:hRule="atLeast"/>
          <w:jc w:val="center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配置要求1</w:t>
            </w:r>
          </w:p>
        </w:tc>
        <w:tc>
          <w:tcPr>
            <w:tcW w:w="5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53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便携多导睡眠监测主机4台，工作站4个；打印机4个；鼻气流传感器4个；热敏口鼻气流传感器4个；血氧饱和度探头4个;腹部呼吸运动传感器探头4个；胸部呼吸运动传感器探头4个；数字音视频系统4个</w:t>
            </w:r>
          </w:p>
        </w:tc>
        <w:tc>
          <w:tcPr>
            <w:tcW w:w="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6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0" w:hRule="atLeast"/>
          <w:jc w:val="center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配置要求2</w:t>
            </w:r>
          </w:p>
        </w:tc>
        <w:tc>
          <w:tcPr>
            <w:tcW w:w="5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53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台式多导睡眠监测主机1台；工作站1台；打印机1台；鼻气流传感器1个；热敏口鼻气流传感器1个；血氧饱和度探头1个;腹部呼吸运动传感器探头1个；胸部呼吸运动传感器探头1个；数字音视频系统1个</w:t>
            </w:r>
          </w:p>
        </w:tc>
        <w:tc>
          <w:tcPr>
            <w:tcW w:w="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6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10739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经济要求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交货时间、交货地点</w:t>
            </w:r>
          </w:p>
        </w:tc>
        <w:tc>
          <w:tcPr>
            <w:tcW w:w="5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53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合同签订后三个月内交付，交付地点由甲方指定</w:t>
            </w:r>
          </w:p>
        </w:tc>
        <w:tc>
          <w:tcPr>
            <w:tcW w:w="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6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" w:hRule="atLeast"/>
          <w:jc w:val="center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付款及结算方式</w:t>
            </w:r>
          </w:p>
        </w:tc>
        <w:tc>
          <w:tcPr>
            <w:tcW w:w="5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53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物资到货（服务完成）验收后付95%</w:t>
            </w:r>
          </w:p>
        </w:tc>
        <w:tc>
          <w:tcPr>
            <w:tcW w:w="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6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  <w:jc w:val="center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履约保证金/质量保证金</w:t>
            </w:r>
          </w:p>
        </w:tc>
        <w:tc>
          <w:tcPr>
            <w:tcW w:w="5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53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验收合格后满一年无质量问题支付剩余5%</w:t>
            </w:r>
          </w:p>
        </w:tc>
        <w:tc>
          <w:tcPr>
            <w:tcW w:w="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6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售后服务1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（质保）</w:t>
            </w:r>
          </w:p>
        </w:tc>
        <w:tc>
          <w:tcPr>
            <w:tcW w:w="5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53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保修年限不低于三年，全年故障停机时间不高于5%（按365日/年计算)</w:t>
            </w:r>
          </w:p>
        </w:tc>
        <w:tc>
          <w:tcPr>
            <w:tcW w:w="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6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原厂授权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（企业承诺）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jc w:val="center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售后服务2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（质保）</w:t>
            </w:r>
          </w:p>
        </w:tc>
        <w:tc>
          <w:tcPr>
            <w:tcW w:w="5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53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保修</w:t>
            </w:r>
            <w:bookmarkStart w:id="0" w:name="_GoBack"/>
            <w:bookmarkEnd w:id="0"/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期内免费提供定期维护保养服务，免费升级和维护软件，免费提供使用培训</w:t>
            </w:r>
          </w:p>
        </w:tc>
        <w:tc>
          <w:tcPr>
            <w:tcW w:w="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6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jc w:val="center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售后服务3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（响应时间）</w:t>
            </w:r>
          </w:p>
        </w:tc>
        <w:tc>
          <w:tcPr>
            <w:tcW w:w="5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53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维修响应时间≤4小时，京内维修到达现场时间≤12小时，京外维修到达现场时间≤48小时</w:t>
            </w:r>
          </w:p>
        </w:tc>
        <w:tc>
          <w:tcPr>
            <w:tcW w:w="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6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" w:hRule="atLeast"/>
          <w:jc w:val="center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备品备件要求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（零配件）</w:t>
            </w:r>
          </w:p>
        </w:tc>
        <w:tc>
          <w:tcPr>
            <w:tcW w:w="5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53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由供应商承诺项目使用寿命周期内保证零配件供应</w:t>
            </w:r>
          </w:p>
        </w:tc>
        <w:tc>
          <w:tcPr>
            <w:tcW w:w="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6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jc w:val="center"/>
        </w:trPr>
        <w:tc>
          <w:tcPr>
            <w:tcW w:w="10739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注：1.★指标为必须响应指标，任意一项不满足要求即做废标处理；</w:t>
            </w:r>
          </w:p>
          <w:p>
            <w:pPr>
              <w:keepNext w:val="0"/>
              <w:keepLines w:val="0"/>
              <w:widowControl/>
              <w:suppressLineNumbers w:val="0"/>
              <w:ind w:firstLine="360" w:firstLineChars="200"/>
              <w:jc w:val="both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2.★及▲标识的指标，需逐条按备注要求提供证明材料，未明确的可由企业提供承诺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eastAsia="zh-CN"/>
              </w:rPr>
              <w:t>。</w:t>
            </w:r>
          </w:p>
        </w:tc>
      </w:tr>
    </w:tbl>
    <w:p>
      <w:pPr>
        <w:pStyle w:val="2"/>
      </w:pPr>
    </w:p>
    <w:sectPr>
      <w:pgSz w:w="11906" w:h="16838"/>
      <w:pgMar w:top="1440" w:right="1800" w:bottom="1440" w:left="1800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altName w:val="宋体-方正超大字符集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E47A74"/>
    <w:rsid w:val="015B0671"/>
    <w:rsid w:val="0417711A"/>
    <w:rsid w:val="042740CE"/>
    <w:rsid w:val="04BF25EE"/>
    <w:rsid w:val="068004F9"/>
    <w:rsid w:val="0F29126A"/>
    <w:rsid w:val="12AA1277"/>
    <w:rsid w:val="140150A7"/>
    <w:rsid w:val="1542172A"/>
    <w:rsid w:val="1CE47A74"/>
    <w:rsid w:val="1CF64E69"/>
    <w:rsid w:val="2255653A"/>
    <w:rsid w:val="26D44EE5"/>
    <w:rsid w:val="29C80157"/>
    <w:rsid w:val="2BB40B25"/>
    <w:rsid w:val="2C48216D"/>
    <w:rsid w:val="2F1C2362"/>
    <w:rsid w:val="2FE225DA"/>
    <w:rsid w:val="3285429A"/>
    <w:rsid w:val="34012480"/>
    <w:rsid w:val="35B464C1"/>
    <w:rsid w:val="370E0ABB"/>
    <w:rsid w:val="395F5254"/>
    <w:rsid w:val="3B267277"/>
    <w:rsid w:val="407B191E"/>
    <w:rsid w:val="42F078BF"/>
    <w:rsid w:val="443D5AEC"/>
    <w:rsid w:val="4E3E36FB"/>
    <w:rsid w:val="55771F9E"/>
    <w:rsid w:val="55B92F41"/>
    <w:rsid w:val="589779BE"/>
    <w:rsid w:val="5DF91893"/>
    <w:rsid w:val="64C37BB9"/>
    <w:rsid w:val="66BE2F36"/>
    <w:rsid w:val="6B9015BC"/>
    <w:rsid w:val="7B705122"/>
    <w:rsid w:val="7D116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unhideWhenUsed/>
    <w:qFormat/>
    <w:uiPriority w:val="0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  <w:style w:type="character" w:customStyle="1" w:styleId="5">
    <w:name w:val="font31"/>
    <w:basedOn w:val="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6">
    <w:name w:val="font11"/>
    <w:basedOn w:val="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7">
    <w:name w:val="font61"/>
    <w:basedOn w:val="4"/>
    <w:qFormat/>
    <w:uiPriority w:val="0"/>
    <w:rPr>
      <w:rFonts w:hint="eastAsia" w:ascii="黑体" w:hAnsi="宋体" w:eastAsia="黑体" w:cs="黑体"/>
      <w:i/>
      <w:color w:val="000000"/>
      <w:sz w:val="20"/>
      <w:szCs w:val="20"/>
      <w:u w:val="none"/>
    </w:rPr>
  </w:style>
  <w:style w:type="character" w:customStyle="1" w:styleId="8">
    <w:name w:val="font101"/>
    <w:basedOn w:val="4"/>
    <w:qFormat/>
    <w:uiPriority w:val="0"/>
    <w:rPr>
      <w:rFonts w:hint="eastAsia" w:ascii="宋体" w:hAnsi="宋体" w:eastAsia="宋体" w:cs="宋体"/>
      <w:i/>
      <w:color w:val="000000"/>
      <w:sz w:val="20"/>
      <w:szCs w:val="20"/>
      <w:u w:val="none"/>
    </w:rPr>
  </w:style>
  <w:style w:type="character" w:customStyle="1" w:styleId="9">
    <w:name w:val="font51"/>
    <w:basedOn w:val="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0">
    <w:name w:val="font112"/>
    <w:basedOn w:val="4"/>
    <w:qFormat/>
    <w:uiPriority w:val="0"/>
    <w:rPr>
      <w:rFonts w:hint="eastAsia" w:ascii="黑体" w:hAnsi="宋体" w:eastAsia="黑体" w:cs="黑体"/>
      <w:i/>
      <w:color w:val="000000"/>
      <w:sz w:val="20"/>
      <w:szCs w:val="20"/>
      <w:u w:val="none"/>
    </w:rPr>
  </w:style>
  <w:style w:type="character" w:customStyle="1" w:styleId="11">
    <w:name w:val="font131"/>
    <w:basedOn w:val="4"/>
    <w:qFormat/>
    <w:uiPriority w:val="0"/>
    <w:rPr>
      <w:rFonts w:hint="eastAsia" w:ascii="黑体" w:hAnsi="宋体" w:eastAsia="黑体" w:cs="黑体"/>
      <w:i/>
      <w:color w:val="FF0000"/>
      <w:sz w:val="20"/>
      <w:szCs w:val="20"/>
      <w:u w:val="none"/>
    </w:rPr>
  </w:style>
  <w:style w:type="character" w:customStyle="1" w:styleId="12">
    <w:name w:val="font91"/>
    <w:basedOn w:val="4"/>
    <w:qFormat/>
    <w:uiPriority w:val="0"/>
    <w:rPr>
      <w:rFonts w:ascii="Wingdings" w:hAnsi="Wingdings" w:cs="Wingdings"/>
      <w:color w:val="000000"/>
      <w:sz w:val="20"/>
      <w:szCs w:val="20"/>
      <w:u w:val="none"/>
    </w:rPr>
  </w:style>
  <w:style w:type="character" w:customStyle="1" w:styleId="13">
    <w:name w:val="font41"/>
    <w:basedOn w:val="4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潮州市直及下属单位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2025-02-20T02:59:00Z</dcterms:created>
  <dc:creator>DOCTOR</dc:creator>
  <cp:lastModifiedBy>DOCTOR</cp:lastModifiedBy>
  <dcterms:modified xsi:type="dcterms:W3CDTF">2025-02-26T03:02:28Z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