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tblInd w:w="0" w:type="dxa"/>
        <w:tblLayout w:type="fixed"/>
        <w:tblCellMar>
          <w:top w:w="0" w:type="dxa"/>
          <w:left w:w="108" w:type="dxa"/>
          <w:bottom w:w="0" w:type="dxa"/>
          <w:right w:w="108" w:type="dxa"/>
        </w:tblCellMar>
      </w:tblPr>
      <w:tblGrid>
        <w:gridCol w:w="692"/>
        <w:gridCol w:w="2069"/>
        <w:gridCol w:w="742"/>
        <w:gridCol w:w="3393"/>
        <w:gridCol w:w="774"/>
        <w:gridCol w:w="1390"/>
      </w:tblGrid>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p>
        </w:tc>
        <w:tc>
          <w:tcPr>
            <w:tcW w:w="2069" w:type="dxa"/>
            <w:tcBorders>
              <w:top w:val="single" w:color="000000" w:sz="4" w:space="0"/>
              <w:left w:val="single" w:color="000000" w:sz="4" w:space="0"/>
              <w:bottom w:val="single" w:color="000000" w:sz="4" w:space="0"/>
              <w:right w:val="nil"/>
            </w:tcBorders>
            <w:noWrap/>
            <w:vAlign w:val="center"/>
          </w:tcPr>
          <w:p>
            <w:pPr>
              <w:widowControl/>
              <w:spacing w:line="240" w:lineRule="exact"/>
              <w:jc w:val="center"/>
              <w:rPr>
                <w:rFonts w:ascii="黑体" w:hAnsi="宋体" w:eastAsia="黑体" w:cs="黑体"/>
                <w:sz w:val="20"/>
              </w:rPr>
            </w:pPr>
          </w:p>
        </w:tc>
        <w:tc>
          <w:tcPr>
            <w:tcW w:w="742"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X线数字DR机</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135</w:t>
            </w:r>
          </w:p>
        </w:tc>
      </w:tr>
      <w:tr>
        <w:tblPrEx>
          <w:tblCellMar>
            <w:top w:w="0" w:type="dxa"/>
            <w:left w:w="108" w:type="dxa"/>
            <w:bottom w:w="0" w:type="dxa"/>
            <w:right w:w="108" w:type="dxa"/>
          </w:tblCellMar>
        </w:tblPrEx>
        <w:trPr>
          <w:trHeight w:val="578"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74" w:type="dxa"/>
            <w:tcBorders>
              <w:top w:val="single" w:color="000000" w:sz="4" w:space="0"/>
              <w:left w:val="single" w:color="000000" w:sz="4" w:space="0"/>
              <w:bottom w:val="nil"/>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060"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rPr>
            </w:pPr>
            <w:r>
              <w:rPr>
                <w:rFonts w:hint="eastAsia"/>
                <w:sz w:val="20"/>
              </w:rPr>
              <w:t xml:space="preserve">适用于全身所有部位数字化X线摄影诊断。用于头颅、脊柱、四肢、胸部、腹部等全身站立位和卧位拍摄，天轨悬吊结构（三维运动x轴、y轴、z轴），悬吊机架可实现自动运动，可电动切换机架的立位拍摄及卧位拍摄，可实现一键自动摆位功能。 </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both"/>
              <w:textAlignment w:val="center"/>
              <w:rPr>
                <w:rFonts w:hint="eastAsia" w:ascii="黑体" w:hAnsi="宋体" w:eastAsia="黑体" w:cs="黑体"/>
                <w:i/>
                <w:iCs/>
                <w:sz w:val="20"/>
                <w:lang w:eastAsia="zh-CN"/>
              </w:rPr>
            </w:pPr>
            <w:r>
              <w:rPr>
                <w:rFonts w:hint="eastAsia"/>
                <w:sz w:val="20"/>
                <w:szCs w:val="22"/>
                <w:lang w:eastAsia="zh-CN"/>
              </w:rPr>
              <w:t>技术白皮书或宣传彩页</w:t>
            </w:r>
          </w:p>
        </w:tc>
      </w:tr>
      <w:tr>
        <w:tblPrEx>
          <w:tblCellMar>
            <w:top w:w="0" w:type="dxa"/>
            <w:left w:w="108" w:type="dxa"/>
            <w:bottom w:w="0" w:type="dxa"/>
            <w:right w:w="108" w:type="dxa"/>
          </w:tblCellMar>
        </w:tblPrEx>
        <w:trPr>
          <w:trHeight w:val="823"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资质要求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sz w:val="20"/>
              </w:rPr>
            </w:pPr>
            <w:r>
              <w:rPr>
                <w:rFonts w:hint="eastAsia"/>
                <w:sz w:val="20"/>
              </w:rPr>
              <w:t>具有NMPA(CFDA)认证,FDA或CE</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iCs/>
                <w:sz w:val="20"/>
                <w:lang w:eastAsia="zh-CN"/>
              </w:rPr>
            </w:pPr>
            <w:r>
              <w:rPr>
                <w:rFonts w:hint="eastAsia"/>
                <w:sz w:val="20"/>
              </w:rPr>
              <w:t>NMPA(CFDA)认证,FDA或CE</w:t>
            </w:r>
            <w:r>
              <w:rPr>
                <w:rFonts w:hint="eastAsia" w:asciiTheme="minorEastAsia" w:hAnsiTheme="minorEastAsia" w:eastAsiaTheme="minorEastAsia" w:cstheme="minorEastAsia"/>
                <w:sz w:val="20"/>
                <w:lang w:eastAsia="zh-CN"/>
              </w:rPr>
              <w:t>认证材料</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sz w:val="20"/>
                <w:highlight w:val="none"/>
              </w:rPr>
              <w:t>数字平板探测器：数量2块</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黑体" w:hAnsi="宋体" w:eastAsia="黑体" w:cs="黑体"/>
                <w:i/>
                <w:iCs/>
                <w:kern w:val="0"/>
                <w:sz w:val="20"/>
                <w:highlight w:val="none"/>
                <w:lang w:eastAsia="zh-CN"/>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ascii="宋体" w:hAnsi="宋体" w:cs="宋体"/>
                <w:sz w:val="20"/>
                <w:highlight w:val="none"/>
              </w:rPr>
              <w:t>≥2块无线平板，需为同品牌、同型号可在胸片架和摄影床的探测器托盘内互为替换使用</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highlight w:val="none"/>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sz w:val="20"/>
                <w:highlight w:val="none"/>
              </w:rPr>
              <w:t>平板是以碘化铯为闪烁体的非晶硅技术探测器</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highlight w:val="none"/>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探测器规格≥（35×43）cm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468"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像素尺寸≤139um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DQE(100%MTF)量子捕获率≥65%</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A/D数模转换≥16比特</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是</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66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可利用无线便携方式实现隔室摆位及摄影。</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11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highlight w:val="none"/>
              </w:rPr>
            </w:pPr>
            <w:r>
              <w:rPr>
                <w:rFonts w:hint="eastAsia"/>
                <w:sz w:val="20"/>
                <w:highlight w:val="none"/>
              </w:rPr>
              <w:t>技术指标9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highlight w:val="none"/>
              </w:rPr>
            </w:pPr>
            <w:r>
              <w:rPr>
                <w:rFonts w:hint="eastAsia" w:ascii="黑体" w:hAnsi="宋体" w:eastAsia="黑体" w:cs="黑体"/>
                <w:kern w:val="0"/>
                <w:sz w:val="20"/>
                <w:highlight w:val="none"/>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highlight w:val="none"/>
              </w:rPr>
            </w:pPr>
            <w:r>
              <w:rPr>
                <w:rFonts w:hint="eastAsia"/>
                <w:sz w:val="20"/>
                <w:highlight w:val="none"/>
              </w:rPr>
              <w:t>配置胸片架和固定检查床</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highlight w:val="none"/>
              </w:rPr>
            </w:pPr>
            <w:r>
              <w:rPr>
                <w:rFonts w:hint="eastAsia" w:asciiTheme="minorEastAsia" w:hAnsiTheme="minorEastAsia" w:eastAsiaTheme="minorEastAsia" w:cstheme="minorEastAsia"/>
                <w:sz w:val="20"/>
                <w:highlight w:val="none"/>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highlight w:val="none"/>
              </w:rPr>
            </w:pPr>
            <w:r>
              <w:rPr>
                <w:rFonts w:hint="eastAsia" w:asciiTheme="minorEastAsia" w:hAnsiTheme="minorEastAsia" w:eastAsiaTheme="minorEastAsia" w:cstheme="minorEastAsia"/>
                <w:sz w:val="20"/>
                <w:highlight w:val="none"/>
                <w:lang w:eastAsia="zh-CN"/>
              </w:rPr>
              <w:t>技术白皮书或产品彩页或企业承诺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最大输出功率≥65KW</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管电压范围≥（40-150）KV</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具备自动曝光量控制功能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最短曝光时间≤1ms</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最长曝光时间≥4s</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最大输出毫安≥800mA</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19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highlight w:val="none"/>
              </w:rPr>
              <w:t>双焦点，焦点规格：小焦点≤0.6</w:t>
            </w:r>
            <w:r>
              <w:rPr>
                <w:rFonts w:hint="eastAsia"/>
                <w:sz w:val="20"/>
                <w:highlight w:val="none"/>
                <w:lang w:val="en-US" w:eastAsia="zh-CN"/>
              </w:rPr>
              <w:t>m</w:t>
            </w:r>
            <w:r>
              <w:rPr>
                <w:rFonts w:hint="eastAsia"/>
                <w:sz w:val="20"/>
                <w:highlight w:val="none"/>
              </w:rPr>
              <w:t>m，大焦点≥1.2</w:t>
            </w:r>
            <w:r>
              <w:rPr>
                <w:rFonts w:hint="eastAsia"/>
                <w:sz w:val="20"/>
                <w:highlight w:val="none"/>
                <w:lang w:val="en-US" w:eastAsia="zh-CN"/>
              </w:rPr>
              <w:t>m</w:t>
            </w:r>
            <w:r>
              <w:rPr>
                <w:rFonts w:hint="eastAsia"/>
                <w:sz w:val="20"/>
                <w:highlight w:val="none"/>
              </w:rPr>
              <w:t>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阳极热容量≥350kHu</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高速旋转阳极转速≥9000r/min</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技术指标19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X射线球管最大功率≥65KW</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具备自动束光器</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具备悬吊式X射线球管机架结构</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eastAsia="黑体" w:cs="宋体"/>
                <w:sz w:val="20"/>
              </w:rPr>
            </w:pPr>
            <w:r>
              <w:rPr>
                <w:rFonts w:hint="eastAsia"/>
                <w:sz w:val="20"/>
              </w:rPr>
              <w:t>具备X射线球管和探测器自动跟踪功能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26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一键全自动摆位功能，即悬吊架X、Y、Z轴，胸片架Z轴及球管旋转运动方式，均可支持手动+电动模式，可隔室通过无线遥控器对临床体位实现自动摆位控制</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全电动胸片摄影架，自动定位功能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探测器上下移动范围≥150cm，具有自动跟踪系统</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29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探测器倾斜移动范围：90°/-20°</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电离室探测区≥3区域</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SID：（100-200）cm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技术指标29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具备胸片架双侧正位拍片扶手</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具备胸片架侧位拍片扶手</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具备固定式四方位浮动摄影平床</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摄影床升降范围≥28cm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床面水平横向移动≥±12cm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床面水平纵向移动≥±45cm</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技术指标35</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自动曝光电离室≥3个检测点</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39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床面最大负重量≥220kg</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滤线器栅比≥10:1</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系统控制（包含发生器）与信息、图像控制一体化设计，无需额外负担工作站处理图像</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技术指标39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具备键盘操作、鼠标操作模式</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sz w:val="20"/>
                <w:lang w:val="en-US" w:eastAsia="zh-CN"/>
              </w:rPr>
            </w:pPr>
            <w:r>
              <w:rPr>
                <w:rFonts w:hint="eastAsia"/>
                <w:sz w:val="20"/>
              </w:rPr>
              <w:t>具备主机工作站硬件、软件须为公司最新最高配置</w:t>
            </w:r>
            <w:r>
              <w:rPr>
                <w:rFonts w:hint="eastAsia"/>
                <w:sz w:val="20"/>
                <w:lang w:val="en-US" w:eastAsia="zh-CN"/>
              </w:rPr>
              <w:t>,</w:t>
            </w:r>
            <w:r>
              <w:rPr>
                <w:rFonts w:hint="eastAsia"/>
                <w:sz w:val="20"/>
              </w:rPr>
              <w:t>具备条形码病人信息输入</w:t>
            </w:r>
            <w:r>
              <w:rPr>
                <w:rFonts w:hint="eastAsia"/>
                <w:sz w:val="20"/>
                <w:lang w:val="en-US" w:eastAsia="zh-CN"/>
              </w:rPr>
              <w:t>,</w:t>
            </w:r>
            <w:r>
              <w:rPr>
                <w:rFonts w:hint="eastAsia"/>
                <w:sz w:val="20"/>
              </w:rPr>
              <w:t>具备图像放大功能</w:t>
            </w:r>
            <w:r>
              <w:rPr>
                <w:rFonts w:hint="eastAsia"/>
                <w:sz w:val="20"/>
                <w:lang w:val="en-US" w:eastAsia="zh-CN"/>
              </w:rPr>
              <w:t>,</w:t>
            </w:r>
            <w:r>
              <w:rPr>
                <w:rFonts w:hint="eastAsia"/>
                <w:sz w:val="20"/>
              </w:rPr>
              <w:t>具备病人资料显示</w:t>
            </w:r>
            <w:r>
              <w:rPr>
                <w:rFonts w:hint="eastAsia"/>
                <w:sz w:val="20"/>
                <w:lang w:val="en-US" w:eastAsia="zh-CN"/>
              </w:rPr>
              <w:t>,</w:t>
            </w:r>
            <w:r>
              <w:rPr>
                <w:rFonts w:hint="eastAsia"/>
                <w:sz w:val="20"/>
              </w:rPr>
              <w:t>具备边缘增强</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44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通过以太网输出DICOM-3.0格式图像，有传输、打印、存储、工作列表等功能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技术指标46</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具备亮度调节</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技术指标47</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具备对比度调节</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技术指标48</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具备图像反转</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技术指标49</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具备多频率窗/多灰度窗图像管理处理，提高图像显示动态范围，能够保证图像中高、低密度区域影响细节对比度清晰显示</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49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技术指标50</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具备根据解剖部分自动进行图像优化处理</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具备注释、测量功能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具备图像打印排版功能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具备中英文界面选择，图形化摄影体位选择，体型选择等功能</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技术指标54</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具备大范围自动拼接功能（全脊柱，长骨等</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kern w:val="0"/>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506"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sz w:val="20"/>
                <w:lang w:val="en-US" w:eastAsia="zh-CN"/>
              </w:rPr>
            </w:pPr>
            <w:r>
              <w:rPr>
                <w:rFonts w:hint="eastAsia"/>
                <w:sz w:val="20"/>
                <w:lang w:val="en-US" w:eastAsia="zh-CN"/>
              </w:rPr>
              <w:t>54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配置要求1</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具备计算机UPS</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8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sz w:val="20"/>
                <w:lang w:val="en-US" w:eastAsia="zh-CN"/>
              </w:rPr>
            </w:pPr>
            <w:r>
              <w:rPr>
                <w:rFonts w:hint="eastAsia"/>
                <w:sz w:val="20"/>
                <w:lang w:val="en-US" w:eastAsia="zh-CN"/>
              </w:rPr>
              <w:t>55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配置要求2</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sz w:val="20"/>
              </w:rPr>
              <w:t>具备全自动化追踪防护帘</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48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eastAsia="宋体" w:cs="宋体"/>
                <w:sz w:val="20"/>
                <w:lang w:val="en-US" w:eastAsia="zh-CN"/>
              </w:rPr>
            </w:pPr>
            <w:r>
              <w:rPr>
                <w:rFonts w:hint="eastAsia"/>
                <w:sz w:val="20"/>
                <w:lang w:val="en-US" w:eastAsia="zh-CN"/>
              </w:rPr>
              <w:t>56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sz w:val="20"/>
              </w:rPr>
              <w:t>配置要求3</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sz w:val="20"/>
              </w:rPr>
            </w:pPr>
            <w:r>
              <w:rPr>
                <w:rFonts w:hint="eastAsia" w:ascii="宋体" w:hAnsi="宋体" w:cs="宋体"/>
                <w:sz w:val="20"/>
              </w:rPr>
              <w:t>DR设备一套</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sz w:val="20"/>
                <w:lang w:eastAsia="zh-CN"/>
              </w:rPr>
              <w:t>技术白皮书或检测报告</w:t>
            </w:r>
          </w:p>
        </w:tc>
      </w:tr>
      <w:tr>
        <w:tblPrEx>
          <w:tblCellMar>
            <w:top w:w="0" w:type="dxa"/>
            <w:left w:w="108" w:type="dxa"/>
            <w:bottom w:w="0" w:type="dxa"/>
            <w:right w:w="108" w:type="dxa"/>
          </w:tblCellMar>
        </w:tblPrEx>
        <w:trPr>
          <w:trHeight w:val="109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eastAsia="宋体"/>
                <w:sz w:val="20"/>
                <w:lang w:val="en-US" w:eastAsia="zh-CN"/>
              </w:rPr>
            </w:pPr>
            <w:r>
              <w:rPr>
                <w:rFonts w:hint="eastAsia"/>
                <w:sz w:val="20"/>
                <w:lang w:val="en-US" w:eastAsia="zh-CN"/>
              </w:rPr>
              <w:t>57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ascii="黑体" w:hAnsi="黑体" w:eastAsia="黑体" w:cs="黑体"/>
                <w:kern w:val="0"/>
                <w:sz w:val="20"/>
              </w:rPr>
              <w:t>验收标准方法</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ascii="宋体" w:hAnsi="宋体" w:cs="宋体"/>
                <w:sz w:val="20"/>
              </w:rPr>
              <w:t>按照投标文件、采购合同、质量标准等，组织对医疗设备进行质量验收，出具验收报告。验收过程中对于核心参数存疑需检测的，可委托地方具有相应检测能力的机构提供技术支持。</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rPr>
                <w:rFonts w:hint="eastAsia" w:eastAsiaTheme="minorEastAsia"/>
                <w:sz w:val="20"/>
                <w:lang w:val="en-US" w:eastAsia="zh-CN"/>
              </w:rPr>
            </w:pPr>
            <w:r>
              <w:rPr>
                <w:rFonts w:hint="eastAsia" w:asciiTheme="minorEastAsia" w:hAnsiTheme="minorEastAsia" w:eastAsiaTheme="minorEastAsia" w:cstheme="minorEastAsia"/>
                <w:sz w:val="20"/>
                <w:lang w:eastAsia="zh-CN"/>
              </w:rPr>
              <w:t>技术白皮书或检测报告或企业承诺</w:t>
            </w:r>
          </w:p>
        </w:tc>
      </w:tr>
      <w:tr>
        <w:tblPrEx>
          <w:tblCellMar>
            <w:top w:w="0" w:type="dxa"/>
            <w:left w:w="108" w:type="dxa"/>
            <w:bottom w:w="0" w:type="dxa"/>
            <w:right w:w="108" w:type="dxa"/>
          </w:tblCellMar>
        </w:tblPrEx>
        <w:trPr>
          <w:trHeight w:val="499" w:hRule="atLeast"/>
        </w:trPr>
        <w:tc>
          <w:tcPr>
            <w:tcW w:w="9060" w:type="dxa"/>
            <w:gridSpan w:val="6"/>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i/>
                <w:iCs/>
                <w:sz w:val="20"/>
              </w:rPr>
            </w:pPr>
            <w:r>
              <w:rPr>
                <w:rFonts w:hint="eastAsia" w:asciiTheme="minorEastAsia" w:hAnsiTheme="minorEastAsia" w:eastAsiaTheme="minorEastAsia" w:cstheme="minorEastAsia"/>
                <w:b/>
                <w:bCs/>
                <w:kern w:val="0"/>
                <w:sz w:val="20"/>
              </w:rPr>
              <w:t>经济要求</w:t>
            </w:r>
          </w:p>
        </w:tc>
      </w:tr>
      <w:tr>
        <w:tblPrEx>
          <w:tblCellMar>
            <w:top w:w="0" w:type="dxa"/>
            <w:left w:w="108" w:type="dxa"/>
            <w:bottom w:w="0" w:type="dxa"/>
            <w:right w:w="108" w:type="dxa"/>
          </w:tblCellMar>
        </w:tblPrEx>
        <w:trPr>
          <w:trHeight w:val="689"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交货时间、交货地点</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合同签订后3个月内交付，交付地点由甲方指定。</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076"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付款及结算方式</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hint="eastAsia" w:eastAsia="宋体"/>
                <w:sz w:val="20"/>
                <w:lang w:eastAsia="zh-CN"/>
              </w:rPr>
            </w:pPr>
            <w:r>
              <w:rPr>
                <w:rFonts w:hint="eastAsia"/>
                <w:sz w:val="20"/>
              </w:rPr>
              <w:t>签订合同付（预付）0%，物资到货验收完成后付95%</w:t>
            </w:r>
            <w:r>
              <w:rPr>
                <w:rFonts w:hint="eastAsia"/>
                <w:sz w:val="20"/>
                <w:lang w:eastAsia="zh-CN"/>
              </w:rPr>
              <w:t>，</w:t>
            </w:r>
            <w:r>
              <w:rPr>
                <w:rFonts w:hint="eastAsia"/>
                <w:sz w:val="20"/>
              </w:rPr>
              <w:t>验收合格后满一年无质量问题支付剩余5%</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54"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履约保证金/质量保证金</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rFonts w:hint="eastAsia" w:eastAsia="宋体"/>
                <w:sz w:val="20"/>
                <w:lang w:val="en-US" w:eastAsia="zh-CN"/>
              </w:rPr>
            </w:pPr>
            <w:r>
              <w:rPr>
                <w:rFonts w:hint="eastAsia"/>
                <w:sz w:val="20"/>
                <w:lang w:val="en-US" w:eastAsia="zh-CN"/>
              </w:rPr>
              <w:t>无</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p>
        </w:tc>
      </w:tr>
      <w:tr>
        <w:tblPrEx>
          <w:tblCellMar>
            <w:top w:w="0" w:type="dxa"/>
            <w:left w:w="108" w:type="dxa"/>
            <w:bottom w:w="0" w:type="dxa"/>
            <w:right w:w="108" w:type="dxa"/>
          </w:tblCellMar>
        </w:tblPrEx>
        <w:trPr>
          <w:trHeight w:val="1061"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产品包装和运输要求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按照国家、行业相关标准规范，产品确保包装完好，运输确保不对产品造成损伤。</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433"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5</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售后服务1</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≥3年，保修期内全年故障停机时间不高于5%（按365日/年计算，含节假日)，未达到要求的开机率天数，按双倍天数顺延保修期。</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621"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6</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售后服务2</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保修期内免费提供定期维护保养服务，免费升级和维护软件，免费提供使用培训。保修期外如用户已购买的软件损坏，软件维护仅收工时费，软件费用不得加收</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售后服务3</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至少提供按小时计费和按故障点计费两种方式，维修工时费不超过全国统一报价的80%</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售后服务4</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免费提供院方维修工程师1名培训，不低于5个工作日，使其达到维护设备的能力</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售后服务5</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对使用科室操作人员和医学工程科技术人员进行操作及维修保养现场培训</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72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10</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售后服务6</w:t>
            </w:r>
          </w:p>
          <w:p>
            <w:pPr>
              <w:jc w:val="center"/>
              <w:rPr>
                <w:rFonts w:ascii="黑体" w:hAnsi="黑体" w:eastAsia="黑体" w:cs="黑体"/>
                <w:kern w:val="0"/>
                <w:sz w:val="20"/>
              </w:rPr>
            </w:pPr>
            <w:r>
              <w:rPr>
                <w:rFonts w:hint="eastAsia" w:ascii="黑体" w:hAnsi="黑体" w:eastAsia="黑体" w:cs="黑体"/>
                <w:kern w:val="0"/>
                <w:sz w:val="20"/>
              </w:rPr>
              <w:t>（质保）</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免费提供维修、使用技术手册（进口产品提供中英文版本）</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11</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售后服务7</w:t>
            </w:r>
          </w:p>
          <w:p>
            <w:pPr>
              <w:jc w:val="center"/>
              <w:rPr>
                <w:rFonts w:ascii="黑体" w:hAnsi="黑体" w:eastAsia="黑体" w:cs="黑体"/>
                <w:kern w:val="0"/>
                <w:sz w:val="20"/>
              </w:rPr>
            </w:pPr>
            <w:r>
              <w:rPr>
                <w:rFonts w:hint="eastAsia" w:ascii="黑体" w:hAnsi="黑体" w:eastAsia="黑体" w:cs="黑体"/>
                <w:kern w:val="0"/>
                <w:sz w:val="20"/>
              </w:rPr>
              <w:t>（响应时间）</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维修响应时间≤4小时，维修到达现场时间≤8小时</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500"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备品备件要求（零配件）</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kern w:val="0"/>
                <w:sz w:val="20"/>
              </w:rPr>
            </w:pPr>
            <w:r>
              <w:rPr>
                <w:rFonts w:hint="eastAsia"/>
                <w:sz w:val="20"/>
              </w:rPr>
              <w:t>由供应商承诺项目使用寿命周期内保证零配件供应。</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625"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专用工具</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textAlignment w:val="center"/>
              <w:rPr>
                <w:rFonts w:ascii="黑体" w:hAnsi="宋体" w:eastAsia="黑体" w:cs="黑体"/>
                <w:i/>
                <w:iCs/>
                <w:kern w:val="0"/>
                <w:sz w:val="20"/>
              </w:rPr>
            </w:pPr>
            <w:r>
              <w:rPr>
                <w:rFonts w:hint="eastAsia"/>
                <w:sz w:val="20"/>
              </w:rPr>
              <w:t>描述应提供的配套专修工具和使用工具。</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1166" w:hRule="atLeast"/>
        </w:trPr>
        <w:tc>
          <w:tcPr>
            <w:tcW w:w="692"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206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黑体" w:hAnsi="黑体" w:eastAsia="黑体" w:cs="黑体"/>
                <w:kern w:val="0"/>
                <w:sz w:val="20"/>
              </w:rPr>
            </w:pPr>
            <w:r>
              <w:rPr>
                <w:rFonts w:hint="eastAsia" w:ascii="黑体" w:hAnsi="黑体" w:eastAsia="黑体" w:cs="黑体"/>
                <w:kern w:val="0"/>
                <w:sz w:val="20"/>
              </w:rPr>
              <w:t>物资编目编码、打码贴签要求</w:t>
            </w:r>
          </w:p>
        </w:tc>
        <w:tc>
          <w:tcPr>
            <w:tcW w:w="742" w:type="dxa"/>
            <w:tcBorders>
              <w:top w:val="single" w:color="000000" w:sz="4" w:space="0"/>
              <w:left w:val="single" w:color="000000" w:sz="4" w:space="0"/>
              <w:bottom w:val="single" w:color="000000" w:sz="4" w:space="0"/>
              <w:right w:val="single" w:color="000000" w:sz="4" w:space="0"/>
            </w:tcBorders>
            <w:noWrap/>
            <w:vAlign w:val="center"/>
          </w:tcPr>
          <w:p>
            <w:pPr>
              <w:jc w:val="center"/>
              <w:rPr>
                <w:sz w:val="20"/>
              </w:rPr>
            </w:pPr>
            <w:r>
              <w:rPr>
                <w:rFonts w:hint="eastAsia"/>
                <w:sz w:val="20"/>
              </w:rPr>
              <w:t>★</w:t>
            </w:r>
          </w:p>
        </w:tc>
        <w:tc>
          <w:tcPr>
            <w:tcW w:w="3393" w:type="dxa"/>
            <w:tcBorders>
              <w:top w:val="single" w:color="000000" w:sz="4" w:space="0"/>
              <w:left w:val="single" w:color="000000" w:sz="4" w:space="0"/>
              <w:bottom w:val="single" w:color="000000" w:sz="4" w:space="0"/>
              <w:right w:val="single" w:color="000000" w:sz="4" w:space="0"/>
            </w:tcBorders>
            <w:noWrap/>
            <w:vAlign w:val="center"/>
          </w:tcPr>
          <w:p>
            <w:pPr>
              <w:rPr>
                <w:sz w:val="20"/>
              </w:rPr>
            </w:pPr>
            <w:r>
              <w:rPr>
                <w:rFonts w:hint="eastAsia"/>
                <w:sz w:val="20"/>
              </w:rPr>
              <w:t>本项目对物资的编目编码、打码贴签要求，报价供应商应当予以明确响应，相关费用包含在报价中。</w:t>
            </w:r>
          </w:p>
        </w:tc>
        <w:tc>
          <w:tcPr>
            <w:tcW w:w="77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否</w:t>
            </w:r>
          </w:p>
        </w:tc>
        <w:tc>
          <w:tcPr>
            <w:tcW w:w="139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cs="宋体"/>
                <w:kern w:val="0"/>
                <w:sz w:val="20"/>
              </w:rPr>
            </w:pPr>
            <w:r>
              <w:rPr>
                <w:rFonts w:hint="eastAsia" w:ascii="宋体" w:hAnsi="宋体" w:cs="宋体"/>
                <w:kern w:val="0"/>
                <w:sz w:val="20"/>
              </w:rPr>
              <w:t>企业承诺</w:t>
            </w:r>
          </w:p>
        </w:tc>
      </w:tr>
      <w:tr>
        <w:tblPrEx>
          <w:tblCellMar>
            <w:top w:w="0" w:type="dxa"/>
            <w:left w:w="108" w:type="dxa"/>
            <w:bottom w:w="0" w:type="dxa"/>
            <w:right w:w="108" w:type="dxa"/>
          </w:tblCellMar>
        </w:tblPrEx>
        <w:trPr>
          <w:trHeight w:val="499" w:hRule="atLeast"/>
        </w:trPr>
        <w:tc>
          <w:tcPr>
            <w:tcW w:w="692"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kern w:val="0"/>
                <w:sz w:val="20"/>
              </w:rPr>
            </w:pPr>
            <w:bookmarkStart w:id="0" w:name="_GoBack"/>
            <w:bookmarkEnd w:id="0"/>
            <w:r>
              <w:rPr>
                <w:rFonts w:hint="eastAsia" w:ascii="黑体" w:hAnsi="宋体" w:eastAsia="黑体" w:cs="黑体"/>
                <w:kern w:val="0"/>
                <w:sz w:val="20"/>
              </w:rPr>
              <w:t>3</w:t>
            </w:r>
          </w:p>
        </w:tc>
        <w:tc>
          <w:tcPr>
            <w:tcW w:w="2069" w:type="dxa"/>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技术偏离要求</w:t>
            </w:r>
          </w:p>
        </w:tc>
        <w:tc>
          <w:tcPr>
            <w:tcW w:w="6299" w:type="dxa"/>
            <w:gridSpan w:val="4"/>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left"/>
              <w:textAlignment w:val="center"/>
              <w:rPr>
                <w:rFonts w:ascii="黑体" w:hAnsi="黑体" w:eastAsia="黑体" w:cs="黑体"/>
                <w:kern w:val="0"/>
                <w:sz w:val="20"/>
              </w:rPr>
            </w:pPr>
            <w:r>
              <w:rPr>
                <w:rFonts w:hint="eastAsia" w:ascii="黑体" w:hAnsi="黑体" w:eastAsia="黑体" w:cs="黑体"/>
                <w:kern w:val="0"/>
                <w:sz w:val="20"/>
              </w:rPr>
              <w:t>▲标识的指标负偏离≥</w:t>
            </w:r>
            <w:r>
              <w:rPr>
                <w:rFonts w:hint="eastAsia" w:ascii="黑体" w:hAnsi="黑体" w:eastAsia="黑体" w:cs="黑体"/>
                <w:kern w:val="0"/>
                <w:sz w:val="20"/>
                <w:lang w:val="en-US" w:eastAsia="zh-CN"/>
              </w:rPr>
              <w:t>5</w:t>
            </w:r>
            <w:r>
              <w:rPr>
                <w:rFonts w:hint="eastAsia" w:ascii="黑体" w:hAnsi="黑体" w:eastAsia="黑体" w:cs="黑体"/>
                <w:kern w:val="0"/>
                <w:sz w:val="20"/>
              </w:rPr>
              <w:t>项，投标企业技术分值为0分</w:t>
            </w:r>
          </w:p>
          <w:p>
            <w:pPr>
              <w:widowControl/>
              <w:spacing w:line="240" w:lineRule="exact"/>
              <w:jc w:val="left"/>
              <w:rPr>
                <w:rFonts w:ascii="黑体" w:hAnsi="黑体" w:eastAsia="黑体" w:cs="黑体"/>
                <w:kern w:val="0"/>
                <w:sz w:val="20"/>
              </w:rPr>
            </w:pPr>
            <w:r>
              <w:rPr>
                <w:rFonts w:hint="eastAsia" w:ascii="黑体" w:hAnsi="黑体" w:eastAsia="黑体" w:cs="黑体"/>
                <w:kern w:val="0"/>
                <w:sz w:val="20"/>
              </w:rPr>
              <w:t>▲标识的指标和“无标识”指标负偏离≥10项，投标企业技术分值为0分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ODQzNmIwMzUxMmVlYTE0ZTZmNDZmY2Y3YjhjNGUifQ=="/>
  </w:docVars>
  <w:rsids>
    <w:rsidRoot w:val="00552628"/>
    <w:rsid w:val="000B1C26"/>
    <w:rsid w:val="00120845"/>
    <w:rsid w:val="003458A2"/>
    <w:rsid w:val="00356B12"/>
    <w:rsid w:val="003A53EE"/>
    <w:rsid w:val="004046EB"/>
    <w:rsid w:val="00542C27"/>
    <w:rsid w:val="00552628"/>
    <w:rsid w:val="005F29DC"/>
    <w:rsid w:val="00676F33"/>
    <w:rsid w:val="0078314D"/>
    <w:rsid w:val="00955805"/>
    <w:rsid w:val="009A3966"/>
    <w:rsid w:val="00A1089F"/>
    <w:rsid w:val="00D260A2"/>
    <w:rsid w:val="00D350C2"/>
    <w:rsid w:val="00D91B09"/>
    <w:rsid w:val="00ED5C75"/>
    <w:rsid w:val="00EF5024"/>
    <w:rsid w:val="00F064CD"/>
    <w:rsid w:val="00F31E4D"/>
    <w:rsid w:val="01892F7C"/>
    <w:rsid w:val="01F124A0"/>
    <w:rsid w:val="02262708"/>
    <w:rsid w:val="02E334E5"/>
    <w:rsid w:val="04396864"/>
    <w:rsid w:val="04901991"/>
    <w:rsid w:val="07101233"/>
    <w:rsid w:val="074F1149"/>
    <w:rsid w:val="07927288"/>
    <w:rsid w:val="08DD5E5B"/>
    <w:rsid w:val="09665525"/>
    <w:rsid w:val="099306CA"/>
    <w:rsid w:val="09BA4F71"/>
    <w:rsid w:val="0A6A26D1"/>
    <w:rsid w:val="0B5B23C0"/>
    <w:rsid w:val="0BEB3F0F"/>
    <w:rsid w:val="0C4067A4"/>
    <w:rsid w:val="0C6A04CC"/>
    <w:rsid w:val="0CD734E9"/>
    <w:rsid w:val="0DFE5677"/>
    <w:rsid w:val="0E5139F9"/>
    <w:rsid w:val="0E63197E"/>
    <w:rsid w:val="0E724D01"/>
    <w:rsid w:val="0EA8275D"/>
    <w:rsid w:val="0EAD7047"/>
    <w:rsid w:val="0ED87C76"/>
    <w:rsid w:val="0F547E87"/>
    <w:rsid w:val="0FDF3286"/>
    <w:rsid w:val="10737499"/>
    <w:rsid w:val="11452102"/>
    <w:rsid w:val="11D05C06"/>
    <w:rsid w:val="12892B2E"/>
    <w:rsid w:val="12BA2803"/>
    <w:rsid w:val="132B5358"/>
    <w:rsid w:val="13D34BA7"/>
    <w:rsid w:val="1448662D"/>
    <w:rsid w:val="147F207F"/>
    <w:rsid w:val="159B01A2"/>
    <w:rsid w:val="172D2EFF"/>
    <w:rsid w:val="17F520A0"/>
    <w:rsid w:val="18137526"/>
    <w:rsid w:val="18271C4A"/>
    <w:rsid w:val="18B16E44"/>
    <w:rsid w:val="198C4B92"/>
    <w:rsid w:val="1A313F7D"/>
    <w:rsid w:val="1A6D34CE"/>
    <w:rsid w:val="1AE60631"/>
    <w:rsid w:val="1B662F8B"/>
    <w:rsid w:val="1BC93720"/>
    <w:rsid w:val="1BDA5685"/>
    <w:rsid w:val="1BF63E31"/>
    <w:rsid w:val="1DBC4C07"/>
    <w:rsid w:val="1F74188F"/>
    <w:rsid w:val="1FA86529"/>
    <w:rsid w:val="215F5FD5"/>
    <w:rsid w:val="23803F9D"/>
    <w:rsid w:val="23935A85"/>
    <w:rsid w:val="23AD6B8C"/>
    <w:rsid w:val="25050C41"/>
    <w:rsid w:val="263570B8"/>
    <w:rsid w:val="26E1002C"/>
    <w:rsid w:val="26FE644C"/>
    <w:rsid w:val="27824C8B"/>
    <w:rsid w:val="2882734E"/>
    <w:rsid w:val="28B75251"/>
    <w:rsid w:val="29763BA2"/>
    <w:rsid w:val="2A403702"/>
    <w:rsid w:val="2AC1385C"/>
    <w:rsid w:val="2AF04670"/>
    <w:rsid w:val="2CEF2903"/>
    <w:rsid w:val="2D3C438C"/>
    <w:rsid w:val="2E3540BD"/>
    <w:rsid w:val="30E33504"/>
    <w:rsid w:val="31AA1491"/>
    <w:rsid w:val="32560D2E"/>
    <w:rsid w:val="326D284C"/>
    <w:rsid w:val="334B460B"/>
    <w:rsid w:val="338402E5"/>
    <w:rsid w:val="33A361F5"/>
    <w:rsid w:val="33D15D49"/>
    <w:rsid w:val="348A654E"/>
    <w:rsid w:val="35067848"/>
    <w:rsid w:val="36804685"/>
    <w:rsid w:val="38A327F3"/>
    <w:rsid w:val="38D04BF8"/>
    <w:rsid w:val="391334D5"/>
    <w:rsid w:val="3A4362AE"/>
    <w:rsid w:val="3A7C154E"/>
    <w:rsid w:val="3DE54518"/>
    <w:rsid w:val="3E225460"/>
    <w:rsid w:val="3FE565BE"/>
    <w:rsid w:val="413308F7"/>
    <w:rsid w:val="41D062C2"/>
    <w:rsid w:val="42001E18"/>
    <w:rsid w:val="42983858"/>
    <w:rsid w:val="42D55BFE"/>
    <w:rsid w:val="43A03AD5"/>
    <w:rsid w:val="44735789"/>
    <w:rsid w:val="44F763A1"/>
    <w:rsid w:val="45351D88"/>
    <w:rsid w:val="45C73EE7"/>
    <w:rsid w:val="47EB0F4F"/>
    <w:rsid w:val="47F170D7"/>
    <w:rsid w:val="487E46E3"/>
    <w:rsid w:val="48A028AB"/>
    <w:rsid w:val="48C401E9"/>
    <w:rsid w:val="49477E2C"/>
    <w:rsid w:val="4A496B89"/>
    <w:rsid w:val="4B166E55"/>
    <w:rsid w:val="4B252911"/>
    <w:rsid w:val="4B5E2D4C"/>
    <w:rsid w:val="4BEF6685"/>
    <w:rsid w:val="4C276021"/>
    <w:rsid w:val="4CCE040C"/>
    <w:rsid w:val="4D3911A3"/>
    <w:rsid w:val="4D4D3E0E"/>
    <w:rsid w:val="4D993349"/>
    <w:rsid w:val="4DF74D1B"/>
    <w:rsid w:val="4EC93277"/>
    <w:rsid w:val="50CA2CB8"/>
    <w:rsid w:val="51D04201"/>
    <w:rsid w:val="52D01851"/>
    <w:rsid w:val="5352335D"/>
    <w:rsid w:val="53F572F9"/>
    <w:rsid w:val="54D85A84"/>
    <w:rsid w:val="553D4BCF"/>
    <w:rsid w:val="561D553B"/>
    <w:rsid w:val="564503CC"/>
    <w:rsid w:val="56633092"/>
    <w:rsid w:val="57FE314A"/>
    <w:rsid w:val="59B419CF"/>
    <w:rsid w:val="5A663220"/>
    <w:rsid w:val="5AD3420F"/>
    <w:rsid w:val="5BEB7C14"/>
    <w:rsid w:val="5D757F2A"/>
    <w:rsid w:val="5D845EA0"/>
    <w:rsid w:val="5F1F0DB8"/>
    <w:rsid w:val="60787188"/>
    <w:rsid w:val="61BA4586"/>
    <w:rsid w:val="62694A25"/>
    <w:rsid w:val="63247F09"/>
    <w:rsid w:val="63A51739"/>
    <w:rsid w:val="63EA5647"/>
    <w:rsid w:val="63FF3916"/>
    <w:rsid w:val="64126507"/>
    <w:rsid w:val="671975FD"/>
    <w:rsid w:val="673E25DF"/>
    <w:rsid w:val="68024591"/>
    <w:rsid w:val="682B311D"/>
    <w:rsid w:val="689A0C6D"/>
    <w:rsid w:val="68D93E6E"/>
    <w:rsid w:val="6A123E37"/>
    <w:rsid w:val="6A2B33FA"/>
    <w:rsid w:val="6A49288A"/>
    <w:rsid w:val="6B144395"/>
    <w:rsid w:val="71003969"/>
    <w:rsid w:val="71C805CE"/>
    <w:rsid w:val="71D60898"/>
    <w:rsid w:val="72FC167C"/>
    <w:rsid w:val="744A0F96"/>
    <w:rsid w:val="7467454E"/>
    <w:rsid w:val="746F357E"/>
    <w:rsid w:val="74A27930"/>
    <w:rsid w:val="75B5205F"/>
    <w:rsid w:val="76A4279D"/>
    <w:rsid w:val="77075720"/>
    <w:rsid w:val="7720419D"/>
    <w:rsid w:val="779A199D"/>
    <w:rsid w:val="78AF69D1"/>
    <w:rsid w:val="78B92957"/>
    <w:rsid w:val="795A05E7"/>
    <w:rsid w:val="7B5659AB"/>
    <w:rsid w:val="7D48123D"/>
    <w:rsid w:val="7EF401A0"/>
    <w:rsid w:val="7F2668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 w:type="character" w:customStyle="1" w:styleId="8">
    <w:name w:val="页眉 Char"/>
    <w:basedOn w:val="6"/>
    <w:link w:val="4"/>
    <w:qFormat/>
    <w:uiPriority w:val="0"/>
    <w:rPr>
      <w:rFonts w:ascii="Times New Roman" w:hAnsi="Times New Roman" w:eastAsia="宋体" w:cs="Times New Roman"/>
      <w:kern w:val="2"/>
      <w:sz w:val="18"/>
      <w:szCs w:val="18"/>
    </w:rPr>
  </w:style>
  <w:style w:type="character" w:customStyle="1" w:styleId="9">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2962</Words>
  <Characters>3221</Characters>
  <Lines>27</Lines>
  <Paragraphs>7</Paragraphs>
  <TotalTime>64</TotalTime>
  <ScaleCrop>false</ScaleCrop>
  <LinksUpToDate>false</LinksUpToDate>
  <CharactersWithSpaces>3244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2024-03-12T01:36:00Z</dcterms:created>
  <dc:creator>Administrator</dc:creator>
  <cp:lastModifiedBy>nyl</cp:lastModifiedBy>
  <cp:lastPrinted>2024-06-28T08:43:00Z</cp:lastPrinted>
  <dcterms:modified xsi:type="dcterms:W3CDTF">2025-03-06T10:49:22Z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D0A1057D69544219BDDBACE0512B31E6_13</vt:lpwstr>
  </property>
</Properties>
</file>