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ascii="黑体" w:hAnsi="黑体" w:cs="黑体"/>
          <w:b w:val="0"/>
          <w:sz w:val="28"/>
          <w:szCs w:val="28"/>
        </w:rPr>
      </w:pPr>
      <w:bookmarkStart w:id="0" w:name="_Toc25703"/>
      <w:bookmarkStart w:id="1" w:name="_Toc128151026"/>
      <w:bookmarkStart w:id="2" w:name="_Toc30945"/>
      <w:bookmarkStart w:id="3" w:name="_Toc22387"/>
      <w:bookmarkStart w:id="4" w:name="_Toc127820563"/>
      <w:bookmarkStart w:id="5" w:name="_Toc130887499"/>
      <w:bookmarkStart w:id="6" w:name="_Toc128150133"/>
      <w:bookmarkStart w:id="7" w:name="_Toc128397969"/>
      <w:bookmarkStart w:id="8" w:name="_Toc132190633"/>
      <w:bookmarkStart w:id="9" w:name="_Toc128150777"/>
      <w:bookmarkStart w:id="10" w:name="_Toc189"/>
      <w:bookmarkStart w:id="11" w:name="_Toc31595"/>
      <w:bookmarkStart w:id="12" w:name="_Toc21401"/>
      <w:bookmarkStart w:id="13" w:name="_Toc5238"/>
      <w:bookmarkStart w:id="14" w:name="_Toc5320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b w:val="0"/>
          <w:sz w:val="28"/>
          <w:szCs w:val="28"/>
        </w:rPr>
        <w:t>（商务条款均为实质性条款，不接受负偏离）</w:t>
      </w:r>
      <w:bookmarkEnd w:id="11"/>
      <w:bookmarkEnd w:id="12"/>
      <w:bookmarkEnd w:id="13"/>
      <w:bookmarkEnd w:id="14"/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4"/>
        <w:gridCol w:w="2142"/>
        <w:gridCol w:w="4286"/>
        <w:gridCol w:w="124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合同签订后3个月内交付，交付地点由甲方指定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验收合格后满1年无质量问题支付剩余5%（不超过5%）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售后服务1（质保）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售后服务2（质保）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售后服务3（培训）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售后服务4（响应时间）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维修响应时间≤4小时，维修到达现场时间≤12小时。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基于项目合同履行形成的知识产权和其他权益，其权属归采购单位所有，法律另有规定的除外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 w:hAnsi="宋体"/>
          <w:bCs/>
          <w:sz w:val="28"/>
          <w:szCs w:val="28"/>
          <w:lang w:val="zh-CN"/>
        </w:rPr>
      </w:pPr>
    </w:p>
    <w:p>
      <w:pPr>
        <w:rPr>
          <w:rFonts w:hint="eastAsia"/>
        </w:rPr>
      </w:pPr>
      <w:bookmarkStart w:id="15" w:name="_Toc127820564"/>
      <w:bookmarkStart w:id="16" w:name="_Toc130887500"/>
      <w:bookmarkStart w:id="17" w:name="_Toc13097"/>
      <w:bookmarkStart w:id="18" w:name="_Toc128150134"/>
      <w:bookmarkStart w:id="19" w:name="_Toc128150778"/>
      <w:bookmarkStart w:id="20" w:name="_Toc132190634"/>
      <w:bookmarkStart w:id="21" w:name="_Toc1694"/>
      <w:bookmarkStart w:id="22" w:name="_Toc128151027"/>
      <w:bookmarkStart w:id="23" w:name="_Toc128397970"/>
      <w:r>
        <w:rPr>
          <w:rFonts w:hint="eastAsia"/>
        </w:rPr>
        <w:br w:type="page"/>
      </w:r>
    </w:p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24" w:name="_Toc32285"/>
      <w:bookmarkStart w:id="25" w:name="_Toc20762"/>
      <w:r>
        <w:rPr>
          <w:rFonts w:hint="eastAsia" w:ascii="黑体" w:hAnsi="黑体" w:cs="黑体"/>
          <w:b w:val="0"/>
          <w:sz w:val="28"/>
          <w:szCs w:val="28"/>
        </w:rPr>
        <w:t>二、技术要求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1790"/>
        <w:gridCol w:w="1680"/>
        <w:gridCol w:w="910"/>
        <w:gridCol w:w="1445"/>
        <w:gridCol w:w="470"/>
        <w:gridCol w:w="157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2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编号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2024-JQ06-W3630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牙周电子探针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12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采购数量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预算总价（万元）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16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量化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16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用于探测牙周袋深度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16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具备NMPA(CFDA)认证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口腔基础指标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可记录全口牙列情况、牙龈出血化脓、根分叉病变、牙齿松动度口腔基础指标，可显示全口菌斑分布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纵向对比功能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能够纵向比较单个牙齿临床变化，可对比次数≥5次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牙周病筛查功能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3D视图功能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探诊精确度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lang w:val="en-US" w:eastAsia="zh-CN" w:bidi="ar"/>
              </w:rPr>
              <w:t>≦</w:t>
            </w:r>
            <w:r>
              <w:rPr>
                <w:rStyle w:val="7"/>
                <w:lang w:val="en-US" w:eastAsia="zh-CN" w:bidi="ar"/>
              </w:rPr>
              <w:t>0.2mm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探针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7"/>
                <w:lang w:val="en-US" w:eastAsia="zh-CN" w:bidi="ar"/>
              </w:rPr>
              <w:t>钛合金材质，直径≤0.5mm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脚踏控制器操作键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16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≥3个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16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≥5种，至少包括牙周、菌斑、出血、风险评估、对比图表报告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有线传输，可转换成Excel格式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3.10 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视频宣教功能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3.11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语言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支持中文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3.12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连接系统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16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可对接医院门诊系统，联机费用由中标供应商承担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16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硬件配置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16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主机1套，打印机1台，台车1个，脚踏控制器1个，数据转换盒1个，解码器1套，工作尖≥100支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软件配置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16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软件系统1套（含终身免费升级）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16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配套耗材（试剂）要求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16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封闭耗材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77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▲标识的指标负偏离≥2项，投标企业技术分值为0分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▲标识的指标和“无标识”指标负偏离≥4项，投标企业技术分值为0分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注：1.★指标为必须响应指标，任意一项不满足要求即做废标处理；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2.★及▲标识的指标，无法明确的默认由企业提供承诺；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lang w:eastAsia="zh-CN"/>
        </w:rPr>
        <w:t>说明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响应承诺为准；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无标识指标正偏离需参照上述要求提供技术支持材料，未提供的正偏离不予认可；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《采购需求表》备注已明确证明材料种类的，以所注内容为准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eastAsia="zh-CN"/>
        </w:rPr>
        <w:t>（或提供更高等级证明材料）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</w:p>
    <w:p>
      <w:pPr>
        <w:pStyle w:val="2"/>
        <w:rPr>
          <w:rFonts w:hint="eastAsia"/>
        </w:rPr>
      </w:pPr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2168"/>
        <w:gridCol w:w="885"/>
        <w:gridCol w:w="1313"/>
        <w:gridCol w:w="885"/>
        <w:gridCol w:w="1741"/>
        <w:gridCol w:w="45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8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牙周电子探针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83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  <w:t>2024-JQ06-W3630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443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耗材（试剂）与设备为同一品牌或耗材（试剂）为设备生产企业指定的唯一代工品牌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※规格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一次性使用牙探针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快插连接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1000支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注：1..预估2年用量为开展业务所需耗材（开展项目）的测算量，与设备购置数量无关；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2.计量单位为最小使用单位。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说明：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报价供应商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需对《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封闭耗材（试剂）用量测算表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》中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耗材（开展项目）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eastAsia="zh-CN"/>
        </w:rPr>
        <w:t>逐一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，需将各开展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项目所需全部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耗材（试剂）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或各封闭耗材（试剂）的不同型号全部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列明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报价，未列明的视为引进入院时免费提供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2.封闭耗材（试剂）需满足《封闭耗材（试剂）用量测算表》中“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封闭耗材（试剂）描述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”要求，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并提供相关证明材料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，不能提供或不符合要求的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视为无效报价；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非封闭耗材（试剂）（含证明材料不予认定的情况）所报价格不予计算，该项耗材（试剂）按缺项处理，如影响设备使用或导致项目无法开展的，视为无效报价；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.所投耗材按医疗器械管理的，须提供医疗器械注册证或备案凭证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，不按医疗器械管理的，需提供相关证明材料，不得使用已经停产产品，不符合以上要求的视为无效报价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.各项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总价不得超出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对应的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最高限价，超出则视为耗材报价无效，价格评审中耗材部分得0分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为医院目录内产品的，也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须一同报价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；中标后需对目录内价格按照“就低原则”同步调价，调价范围包含解放军总医院各医学中心及医疗区；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封闭耗材（试剂）报价表需按要求加盖供应商及生产企业公章，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如出现多个生产厂家的，需全部生产厂家逐一对其产品盖章确认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封闭耗材（试剂）报价表及其他要求详见“第八章 文件组成及专用附件格式”。</w:t>
      </w:r>
    </w:p>
    <w:p>
      <w:bookmarkStart w:id="26" w:name="_GoBack"/>
      <w:bookmarkEnd w:id="2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5E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Calibri" w:eastAsia="仿宋_GB2312" w:cs="仿宋_GB2312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character" w:customStyle="1" w:styleId="6">
    <w:name w:val="font01"/>
    <w:basedOn w:val="5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4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2025-03-07T01:09:45Z</dcterms:created>
  <dc:creator>admin</dc:creator>
  <cp:lastModifiedBy>admin</cp:lastModifiedBy>
  <dcterms:modified xsi:type="dcterms:W3CDTF">2025-03-07T01:10:13Z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