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before="0" w:after="0" w:line="520" w:lineRule="exact"/>
        <w:ind w:firstLine="643" w:firstLineChars="200"/>
        <w:textAlignment w:val="auto"/>
        <w:rPr>
          <w:rFonts w:hint="eastAsia"/>
          <w:highlight w:val="none"/>
          <w:lang w:val="en-US" w:eastAsia="zh-CN"/>
        </w:rPr>
      </w:pPr>
      <w:bookmarkStart w:id="0" w:name="_Toc31472_WPSOffice_Level2"/>
      <w:bookmarkStart w:id="1" w:name="_Toc285612596"/>
      <w:r>
        <w:rPr>
          <w:rFonts w:hint="eastAsia"/>
          <w:highlight w:val="none"/>
          <w:lang w:val="en-US" w:eastAsia="zh-CN"/>
        </w:rPr>
        <w:t>商务要求（均为实质性响应条款，不接受负偏离）</w:t>
      </w:r>
      <w:bookmarkEnd w:id="0"/>
    </w:p>
    <w:tbl>
      <w:tblPr>
        <w:tblStyle w:val="8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9"/>
        <w:gridCol w:w="2239"/>
        <w:gridCol w:w="4761"/>
        <w:gridCol w:w="119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53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3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53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63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53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63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53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3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53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3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9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53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3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9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53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提供不少于1人次、3个工作日的工程师维修培训。</w:t>
            </w:r>
          </w:p>
        </w:tc>
        <w:tc>
          <w:tcPr>
            <w:tcW w:w="63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9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53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63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53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63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53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3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22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4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1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bookmarkEnd w:id="1"/>
    <w:p>
      <w:pPr>
        <w:pStyle w:val="4"/>
        <w:numPr>
          <w:ilvl w:val="0"/>
          <w:numId w:val="2"/>
        </w:numPr>
        <w:spacing w:before="0" w:after="0" w:line="560" w:lineRule="exact"/>
        <w:ind w:firstLine="643" w:firstLineChars="200"/>
        <w:rPr>
          <w:rFonts w:hint="eastAsia" w:ascii="Times New Roman" w:hAnsi="Times New Roman" w:eastAsia="黑体" w:cs="Times New Roman"/>
          <w:b/>
          <w:bCs/>
          <w:kern w:val="2"/>
          <w:sz w:val="32"/>
          <w:szCs w:val="32"/>
          <w:highlight w:val="none"/>
          <w:lang w:val="zh-CN" w:eastAsia="zh-CN" w:bidi="ar-SA"/>
        </w:rPr>
      </w:pPr>
      <w:bookmarkStart w:id="2" w:name="_Toc19687_WPSOffice_Level2"/>
      <w:bookmarkStart w:id="3" w:name="_Toc128470295"/>
      <w:bookmarkStart w:id="4" w:name="_Toc132186975"/>
      <w:bookmarkStart w:id="5" w:name="_Toc130888007"/>
      <w:bookmarkStart w:id="6" w:name="_Toc128154368"/>
      <w:bookmarkStart w:id="7" w:name="_Toc132191259"/>
      <w:r>
        <w:rPr>
          <w:rFonts w:hint="eastAsia" w:ascii="Times New Roman" w:hAnsi="Times New Roman" w:eastAsia="黑体" w:cs="Times New Roman"/>
          <w:b/>
          <w:bCs/>
          <w:kern w:val="2"/>
          <w:sz w:val="32"/>
          <w:szCs w:val="32"/>
          <w:highlight w:val="none"/>
          <w:lang w:val="zh-CN" w:eastAsia="zh-CN" w:bidi="ar-SA"/>
        </w:rPr>
        <w:t>技术要求</w:t>
      </w:r>
      <w:bookmarkEnd w:id="2"/>
      <w:bookmarkEnd w:id="3"/>
      <w:bookmarkEnd w:id="4"/>
      <w:bookmarkEnd w:id="5"/>
      <w:bookmarkEnd w:id="6"/>
      <w:bookmarkEnd w:id="7"/>
    </w:p>
    <w:p>
      <w:pPr>
        <w:rPr>
          <w:rFonts w:hint="eastAsia"/>
          <w:lang w:val="zh-CN" w:eastAsia="zh-CN"/>
        </w:rPr>
      </w:pPr>
    </w:p>
    <w:tbl>
      <w:tblPr>
        <w:tblStyle w:val="8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2019"/>
        <w:gridCol w:w="143"/>
        <w:gridCol w:w="130"/>
        <w:gridCol w:w="161"/>
        <w:gridCol w:w="393"/>
        <w:gridCol w:w="394"/>
        <w:gridCol w:w="1233"/>
        <w:gridCol w:w="1527"/>
        <w:gridCol w:w="943"/>
        <w:gridCol w:w="14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2024-JQ06-W1578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血液透析滤过机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0" w:type="auto"/>
            <w:gridSpan w:val="4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适用于急性、慢性肾功能不全患者的替代治疗，双泵循环系统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或厂家说明书或注册证或企业承诺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NMPA认证，FDA或CE认证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注册证及认证证书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透析液流量范围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(100～700)ml/min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透析液温度控制范围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35℃ ～ 39℃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透析液导电率检测范围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(13～15)ms/cm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电导度监测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具备电导度检测、显示及超限报警功能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肝素泵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流量调节范围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（0～10）ml/h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调节功能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可设定停泵时间，显示累积容量，有自动注入和追加功能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注射器兼容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兼容20或30ml规格各品牌注射器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血泵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流量调节范围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（50～600）ml/min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流量调节梯度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 ml/min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可调不同直径管路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超滤性能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超滤范围和误差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（0～4000）ml/h，±1%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压力监测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动脉压监测范围和精度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（-250mmHg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+250mmHg），±10mmHg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静脉压监测范围和精度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（-50mmHg～+400mmHg），±10mmHg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跨膜压监测范围和精度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（-100mmHg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+400mmHg），±50mmHg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液面调节功能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应配置液面调节模块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曲线功能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存储曲线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可存储设定曲线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内置固定曲线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包含超滤曲线和钠离子曲线，可单独使用或搭配使用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血压计监测功能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血压监测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血压、脉搏实时监测记录，可显示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血压稳定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自动血压稳定装置或血容量监测模块（无特殊耗材)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透析液细菌、内毒素过滤器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对透析液进行超纯过滤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透析监测功能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持续监测URR或KT/v，可显示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配制系统（干粉）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碳酸氢盐干粉自动配制系统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漏血监测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光电血液检测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气泡监测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超声或光电空气检测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清洗消毒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热化学消毒，自动水洗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热化学消毒时间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≤40min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待机模式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可关闭透析液流量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管理软件及数据存储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记录存储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存储≥10条患者完整治疗记录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网络接口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网络通信接口及数据通信协议，全部免费开放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不间断电源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断电条件下，设备正常运行时间≥15min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操控方式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彩色液晶触摸屏，≥10英寸，中文操作界面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自检功能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程序自检，自检不通过不可跳过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血滤功能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置换液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联机式自产置换液，置换量为1.5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36升/小时（25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600ml/min）；精度为10%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置换液速率自动调节功能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可以根据透析器的凝血状况自动调节置换液，以优化对流治疗效果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血滤治疗模式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具有多种治疗模式，治疗中可随时转换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快速补液功能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具有透析中快速补液功能，可自动累计计算总补液量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紧急键操作功能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具备紧急键，可以一键式自动停止超滤、降低血流量、自动补液并启动血压监测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或厂家说明书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设备监测指标异常、设备故障、必要提示、声光报警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主机3台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0" w:type="auto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▲标识的指标和“无标识”指标负偏离≥20项，投标企业技术分值为0分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2.★及▲标识的指标，无法明确的默认由企业提供承诺。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血液透析滤过机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gridSpan w:val="10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0" w:type="auto"/>
            <w:gridSpan w:val="10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预估2年用量（每台）</w:t>
            </w:r>
            <w:bookmarkStart w:id="8" w:name="_GoBack"/>
            <w:bookmarkEnd w:id="8"/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体外循环管路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年用量为开展业务所需耗材（开展项目）的测算量；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2.计量单位为最小使用单位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pPr>
        <w:pStyle w:val="3"/>
        <w:keepNext w:val="0"/>
        <w:keepLines w:val="0"/>
        <w:adjustRightInd w:val="0"/>
        <w:snapToGrid w:val="0"/>
        <w:spacing w:line="560" w:lineRule="exact"/>
        <w:jc w:val="both"/>
        <w:rPr>
          <w:rFonts w:hint="eastAsia"/>
          <w:b w:val="0"/>
          <w:szCs w:val="44"/>
          <w:highlight w:val="none"/>
          <w:lang w:val="zh-CN"/>
        </w:rPr>
        <w:sectPr>
          <w:headerReference r:id="rId3" w:type="default"/>
          <w:pgSz w:w="11906" w:h="16838"/>
          <w:pgMar w:top="1417" w:right="1134" w:bottom="1417" w:left="1417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楷体_GB2312" w:hAnsi="华文中宋" w:eastAsia="楷体_GB2312"/>
        <w:sz w:val="21"/>
        <w:szCs w:val="21"/>
      </w:rPr>
    </w:pPr>
    <w:r>
      <w:rPr>
        <w:rFonts w:ascii="楷体_GB2312" w:hAnsi="华文中宋" w:eastAsia="楷体_GB2312"/>
        <w:sz w:val="21"/>
        <w:szCs w:val="21"/>
      </w:rPr>
      <w:t>第</w:t>
    </w:r>
    <w:r>
      <w:rPr>
        <w:rFonts w:hint="eastAsia" w:ascii="楷体_GB2312" w:hAnsi="华文中宋" w:eastAsia="楷体_GB2312"/>
        <w:sz w:val="21"/>
        <w:szCs w:val="21"/>
        <w:lang w:val="en-US" w:eastAsia="zh-CN"/>
      </w:rPr>
      <w:t>六</w:t>
    </w:r>
    <w:r>
      <w:rPr>
        <w:rFonts w:ascii="楷体_GB2312" w:hAnsi="华文中宋" w:eastAsia="楷体_GB2312"/>
        <w:sz w:val="21"/>
        <w:szCs w:val="21"/>
      </w:rPr>
      <w:t xml:space="preserve">章 </w:t>
    </w:r>
    <w:r>
      <w:rPr>
        <w:rFonts w:hint="eastAsia" w:ascii="楷体_GB2312" w:hAnsi="华文中宋" w:eastAsia="楷体_GB2312"/>
        <w:sz w:val="21"/>
        <w:szCs w:val="21"/>
        <w:lang w:val="en-US"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D582E"/>
    <w:multiLevelType w:val="singleLevel"/>
    <w:tmpl w:val="4CCD582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3777BA"/>
    <w:multiLevelType w:val="singleLevel"/>
    <w:tmpl w:val="6E3777BA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A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2025-01-22T09:58:10Z</dcterms:created>
  <dc:creator>admin</dc:creator>
  <cp:lastModifiedBy>admin</cp:lastModifiedBy>
  <dcterms:modified xsi:type="dcterms:W3CDTF">2025-01-22T10:00:12Z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