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采购需求表（物资类）</w:t>
      </w:r>
    </w:p>
    <w:tbl>
      <w:tblPr>
        <w:tblStyle w:val="8"/>
        <w:tblW w:w="100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450"/>
        <w:gridCol w:w="643"/>
        <w:gridCol w:w="287"/>
        <w:gridCol w:w="163"/>
        <w:gridCol w:w="902"/>
        <w:gridCol w:w="924"/>
        <w:gridCol w:w="3576"/>
        <w:gridCol w:w="58"/>
        <w:gridCol w:w="416"/>
        <w:gridCol w:w="184"/>
        <w:gridCol w:w="1200"/>
        <w:gridCol w:w="8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编号</w:t>
            </w:r>
          </w:p>
        </w:tc>
        <w:tc>
          <w:tcPr>
            <w:tcW w:w="1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2024-JQ06-W3574</w:t>
            </w:r>
            <w:bookmarkStart w:id="2" w:name="_GoBack"/>
            <w:bookmarkEnd w:id="2"/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名称</w:t>
            </w:r>
          </w:p>
        </w:tc>
        <w:tc>
          <w:tcPr>
            <w:tcW w:w="4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多功能化学发光成像系统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（万元）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04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63" w:leftChars="-30" w:right="-63" w:rightChars="-3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0"/>
                <w:szCs w:val="20"/>
              </w:rPr>
              <w:t>具有紫外成像，彩色Marker成像和化学发光成像等功能。可以对蛋白电泳、核酸电泳、印迹膜、X光片、组织切片、微孔板和培养皿等样品进行全自动图像采集并进行定性和定量分析。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一体化仪器设计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63" w:leftChars="-30" w:right="-63" w:rightChars="-3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内置高清13.3英寸Windows10系统触摸屏电脑，硬盘不小于500G，可连接蓝牙，wifi和以太网，USB接口可连接打印机和U盘，有预留接口可连接外置电脑控制成像仪。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CCD相机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0"/>
                <w:szCs w:val="20"/>
              </w:rPr>
              <w:t>强制冷CCD相机：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0"/>
                <w:szCs w:val="20"/>
                <w:lang w:val="en-US" w:eastAsia="zh-CN"/>
              </w:rPr>
              <w:t>≥600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0"/>
                <w:szCs w:val="20"/>
              </w:rPr>
              <w:t>万像素的CCD相机（非插值分辨率3360×2704），-50℃， 2min可完成深度制冷，动态范围4.8OD，16bit。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像素合并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2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支持1×1, 2×2, 3×3, 4×4, 6×6和8×8 六种Binning模式，兼具分辨率和灵敏度。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滤光片控制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电动控制的7位滤光片转盘，标配595nm滤光片。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透射光源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7"/>
                <w:sz w:val="20"/>
                <w:szCs w:val="20"/>
              </w:rPr>
              <w:t>标配双紫外光源，302nm和365nm，光源寿命≥30000小时，具有免染胶成像功能；标配自发光白光屏，用于高质量的蛋白胶成像。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侧白光光源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标配RGB混合白光光源，有彩色Marker功能，有真彩模式用于拍摄真实彩色照片。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EPI蓝光LED光源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用于激发SYBR Green、SYBR Safe等同类安全染料。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曝光功能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多种曝光功能：自动模式有三种可选，快速模式，宽动态范围模式，过曝模式；有手动模式，累积曝光模式和分段曝光模式。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Marker整合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彩色Marker和化学发光条带自动整合；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图像输出格式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包括TIFF，TIFF（PUB），JPEG，BMP等多种格式；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条带分析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bookmarkStart w:id="0" w:name="_Hlk65748276"/>
            <w:bookmarkStart w:id="1" w:name="_Hlk65748059"/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分析四通道图像</w:t>
            </w:r>
            <w:bookmarkEnd w:id="0"/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，</w:t>
            </w:r>
            <w:bookmarkEnd w:id="1"/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可进行泳道检测，条带检测、分子量测定、背景去除，分子量校准和灰度值计算；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多重荧光分析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包括看家蛋白和全蛋白归一化分析模块；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孔板分析模块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可定义96孔板、384孔板网格，用于In cell western等实验的分析；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菌落分析模块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可进行培养皿菌落计数，灰度值分析等。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厂家彩页或技术白皮书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val="en-US" w:eastAsia="zh-CN" w:bidi="ar"/>
              </w:rPr>
              <w:t>或技术说明或产品规格表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配置要求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63" w:leftChars="-30" w:right="-63" w:rightChars="-3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主机（包含：暗箱，超冷CCD相机，自动滤光片轮，双波长紫外光源，EPI蓝光LED光源，RGB侧白光光源，内置触屏电脑及控制系统）1台。分析软件1套。自发光白光屏1套。设备正常运行必需的标准配件、说明书等。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kern w:val="0"/>
                <w:sz w:val="20"/>
                <w:szCs w:val="20"/>
                <w:lang w:bidi="ar"/>
              </w:rPr>
              <w:t>厂家承诺函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04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物资到货（服务完成）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验收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合格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后付95%。</w:t>
            </w:r>
          </w:p>
        </w:tc>
        <w:tc>
          <w:tcPr>
            <w:tcW w:w="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  <w:lang w:bidi="ar"/>
              </w:rPr>
              <w:t>履约保证金/质量保证金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质保期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满无质量问题支付剩余5%</w:t>
            </w:r>
          </w:p>
        </w:tc>
        <w:tc>
          <w:tcPr>
            <w:tcW w:w="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5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免费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是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售后服务2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63" w:leftChars="-30" w:right="-63" w:rightChars="-3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在用户所在地对用户进行每年1次。培训内容包括仪器的技术原理、操作、数据处理、基本维护，使用时注意事项和常见简单故障的处理，保证用户具备对仪器进行熟练的操作和日常维护的能力。</w:t>
            </w:r>
          </w:p>
        </w:tc>
        <w:tc>
          <w:tcPr>
            <w:tcW w:w="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04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技术偏离要求</w:t>
            </w:r>
          </w:p>
        </w:tc>
        <w:tc>
          <w:tcPr>
            <w:tcW w:w="82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▲标识的指标负偏离≥4项，投标企业技术分值为0分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▲标识的指标和“无标识”指标负偏离≥4项，投标企业技术分值为0分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04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cs="Times New Roman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0" w:leftChars="0" w:right="0" w:rightChars="0" w:firstLine="0" w:firstLineChars="0"/>
        <w:jc w:val="both"/>
        <w:textAlignment w:val="auto"/>
        <w:outlineLvl w:val="9"/>
      </w:pPr>
    </w:p>
    <w:sectPr>
      <w:footerReference r:id="rId3" w:type="first"/>
      <w:pgSz w:w="11906" w:h="16838"/>
      <w:pgMar w:top="820" w:right="1800" w:bottom="678" w:left="1800" w:header="851" w:footer="15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mMzk1ZTIyNjBjOTgyZjUyMDA2NGQ4ODk5ZjMwNmUifQ=="/>
  </w:docVars>
  <w:rsids>
    <w:rsidRoot w:val="00EA326D"/>
    <w:rsid w:val="000076CF"/>
    <w:rsid w:val="001842D0"/>
    <w:rsid w:val="00290DCC"/>
    <w:rsid w:val="002D65B8"/>
    <w:rsid w:val="002E2A09"/>
    <w:rsid w:val="003367DD"/>
    <w:rsid w:val="00386513"/>
    <w:rsid w:val="00451825"/>
    <w:rsid w:val="00661D83"/>
    <w:rsid w:val="009E334A"/>
    <w:rsid w:val="00C00020"/>
    <w:rsid w:val="00C978FF"/>
    <w:rsid w:val="00D23A18"/>
    <w:rsid w:val="00D64796"/>
    <w:rsid w:val="00DE7D50"/>
    <w:rsid w:val="00EA326D"/>
    <w:rsid w:val="07073545"/>
    <w:rsid w:val="09EC502D"/>
    <w:rsid w:val="13386F35"/>
    <w:rsid w:val="19181479"/>
    <w:rsid w:val="1A9717FB"/>
    <w:rsid w:val="1C6758E4"/>
    <w:rsid w:val="1D5641C9"/>
    <w:rsid w:val="1E9363E9"/>
    <w:rsid w:val="227C5B87"/>
    <w:rsid w:val="22DE3C96"/>
    <w:rsid w:val="2F037E25"/>
    <w:rsid w:val="33772D11"/>
    <w:rsid w:val="342F653C"/>
    <w:rsid w:val="35F75A41"/>
    <w:rsid w:val="39474839"/>
    <w:rsid w:val="39FC0759"/>
    <w:rsid w:val="3EA347CB"/>
    <w:rsid w:val="3F5F62D5"/>
    <w:rsid w:val="4DA86482"/>
    <w:rsid w:val="51693D4E"/>
    <w:rsid w:val="55ED4A41"/>
    <w:rsid w:val="58580641"/>
    <w:rsid w:val="5C3C00A6"/>
    <w:rsid w:val="5D1C3E13"/>
    <w:rsid w:val="62A8784B"/>
    <w:rsid w:val="63D90625"/>
    <w:rsid w:val="64A30F44"/>
    <w:rsid w:val="657C0CA0"/>
    <w:rsid w:val="65BB1A42"/>
    <w:rsid w:val="66781207"/>
    <w:rsid w:val="668F4CF9"/>
    <w:rsid w:val="6D531A5A"/>
    <w:rsid w:val="712B5490"/>
    <w:rsid w:val="766A15B5"/>
    <w:rsid w:val="76B2274F"/>
    <w:rsid w:val="76D12FD3"/>
    <w:rsid w:val="7A2E6E00"/>
    <w:rsid w:val="7CB76EB5"/>
    <w:rsid w:val="7F6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9"/>
    <w:qFormat/>
    <w:uiPriority w:val="0"/>
    <w:pPr>
      <w:spacing w:after="12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正文文本 字符"/>
    <w:basedOn w:val="7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正文文本缩进 字符"/>
    <w:basedOn w:val="7"/>
    <w:link w:val="4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页脚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1967</Words>
  <Characters>2157</Characters>
  <Lines>21</Lines>
  <Paragraphs>5</Paragraphs>
  <TotalTime>0</TotalTime>
  <ScaleCrop>false</ScaleCrop>
  <LinksUpToDate>false</LinksUpToDate>
  <CharactersWithSpaces>2196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2024-11-14T02:31:00Z</dcterms:created>
  <dc:creator>Administrator</dc:creator>
  <cp:lastModifiedBy>admin</cp:lastModifiedBy>
  <cp:lastPrinted>2024-11-14T03:39:00Z</cp:lastPrinted>
  <dcterms:modified xsi:type="dcterms:W3CDTF">2025-02-08T00:36:06Z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  <property fmtid="{D5CDD505-2E9C-101B-9397-08002B2CF9AE}" pid="3" name="ICV">
    <vt:lpwstr>A8FC9535C2C141AA9E64E2CB0FE3E90D_13</vt:lpwstr>
  </property>
</Properties>
</file>