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4060"/>
      <w:bookmarkStart w:id="1" w:name="_Toc112681847"/>
      <w:bookmarkStart w:id="2" w:name="_Toc132186974"/>
      <w:bookmarkStart w:id="3" w:name="_Toc285612596"/>
      <w:bookmarkStart w:id="4" w:name="_Toc13753"/>
      <w:bookmarkStart w:id="5" w:name="_Toc13168"/>
      <w:bookmarkStart w:id="6" w:name="_Toc17189"/>
      <w:bookmarkStart w:id="7" w:name="_Toc128154367"/>
      <w:bookmarkStart w:id="8" w:name="_Toc32238"/>
      <w:bookmarkStart w:id="9" w:name="_Toc132191258"/>
      <w:bookmarkStart w:id="10" w:name="_Toc22203"/>
      <w:bookmarkStart w:id="11" w:name="_Toc112768493"/>
      <w:bookmarkStart w:id="12" w:name="_Toc22977"/>
      <w:bookmarkStart w:id="13" w:name="_Toc130888006"/>
      <w:bookmarkStart w:id="14" w:name="_Toc128470294"/>
      <w:bookmarkStart w:id="15" w:name="_Toc21712"/>
      <w:bookmarkStart w:id="16" w:name="_Toc25325"/>
      <w:bookmarkStart w:id="17" w:name="_Toc20366"/>
      <w:bookmarkStart w:id="18" w:name="_Toc27651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（商务要求（一）、（二）、（三）均为实质性响应条款，不接受负偏离，且须在投标文件的商务技术册中单独附页承诺）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一）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99"/>
        <w:gridCol w:w="4948"/>
        <w:gridCol w:w="1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物资到货（服务完成）验收合格且到回款账期后付100%。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保修年限不低于1年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保修期内免费提供定期维护保养服务，免费提供使用培训。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6"/>
        <w:spacing w:line="240" w:lineRule="auto"/>
        <w:ind w:firstLine="560" w:firstLineChars="20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240" w:lineRule="auto"/>
        <w:ind w:left="0" w:leftChars="0"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6"/>
        <w:spacing w:line="240" w:lineRule="auto"/>
        <w:ind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6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2"/>
      </w:pP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3"/>
        <w:gridCol w:w="1356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耳显微手术器械包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用于外耳道病损、化脓性中耳炎、胆脂瘤型中耳炎、内耳病变、耳科良恶性肿瘤等各类手术的显微镜下操作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提供备案凭证或注册证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注册证及相关认证材料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材质要求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进口优质钢材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圆刀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垂直，长度≥16 cm，刀刃标准规格≤（3.5×2.5） 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45°圆刀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直径≤3.5mm，长度≥16cm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45°圆刀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直径≤2.5mm，长度≥16cm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90°圆刀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直径≤1.5mm，长度≥16cm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90°圆刀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直径≤2.5mm，长度≥16cm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镰刀型，长度≥16cm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镰状刀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双刃，弯曲，长度≥16 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外径1.0 mm吸引管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Style w:val="7"/>
                <w:rFonts w:hint="default"/>
                <w:color w:val="auto"/>
              </w:rPr>
              <w:t>弯角状，有效工作长度</w:t>
            </w:r>
            <w:r>
              <w:rPr>
                <w:rStyle w:val="8"/>
                <w:rFonts w:hint="default"/>
                <w:color w:val="auto"/>
              </w:rPr>
              <w:t>≥</w:t>
            </w:r>
            <w:r>
              <w:rPr>
                <w:rStyle w:val="7"/>
                <w:rFonts w:hint="default"/>
                <w:color w:val="auto"/>
              </w:rPr>
              <w:t>6 cm，外径≤1.0mm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外径1.5 mm吸引管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弯角状，有效工作长度≥6 cm，外径≤1.5mm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外径2.0 mm吸引管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弯角状，有效工作长度≥6 cm，外径≤2.0mm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外径2.5 mm吸引管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弯角状，有效工作长度≥6 cm，外径≤2.5mm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外径0.5 mm吸引管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弯角状，有效工作长度≥6 cm，外径≤0.5mm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外径0.7 mm吸引管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弯角状，有效工作长度≥6 cm，外径≤0.7mm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吸引手柄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配合吸引管使用，带控制孔，锥体接口，长度≥5.5mm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直型，长度≥16.5cm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45°耳钩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角度45°，规格：≤2.5mm，长度≤16cm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90°耳钩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角度90°，规格：≤0.5mm，长度≥16cm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90°耳钩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角度90°，规格：≤1.0mm，长度≥16cm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镫骨底钩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≤0.2mm，长度≥16cm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针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轻微弯曲，长度≥16.5cm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钩状探针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球形头，45°，长度≥15.5cm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牵开器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双头，末端单侧右弯或左弯，长度≥18cm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牵开器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双头，末端双侧右弯或左弯，长度≥18cm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双头刮匙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匙大小≤（1×1.8）mm和≤（2×2.8）mm，长度≥15cm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双头刮匙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匙大小≤（2×3.2）mm和≤（1.6×2.6）mm，长度≥15cm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双头刮匙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直头，匙大小≤（2.5×3.5）mm和≤（2.7×4.3）mm，长度≥15cm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锤骨咬骨钳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向上咬切，宽度≤0.8mm,工作长度≥8cm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椭圆形杯口状钳口，≤0.9mm，工作长度≥8cm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椭圆形杯口状钳口，右弯，椭圆形，≤0.9mm，工作长度≥8cm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椭圆形杯口状钳口，左弯，椭圆形，≤0.9mm，工作长度≥8cm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fldChar w:fldCharType="begin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instrText xml:space="preserve"> = 4 \* GB3 \* MERGEFORMAT </w:instrTex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fldChar w:fldCharType="separate"/>
            </w:r>
            <w:r>
              <w:t>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椭圆形杯口状钳口，上弯，椭圆形，≤0.9mm，工作长度≥8cm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锯齿形，≤（1×4.5）mm，工作长度≥8cm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平滑，≤（1×4.5）mm，工作长度≥8cm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耳钳⑦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锯齿形，≤（0.4×3.5）mm，工作长度≥8cm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剪刀①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切口长度≤7mm，工作长度≥8cm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微型剪刀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切口长度≤3mm，工作长度≥8cm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剪刀②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右弯，工作长度≥8cm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剪刀③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左弯，工作长度≥8cm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剥离子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弯曲，宽度≤1.5mm，长度≥16cm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剪刀④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用于镫骨底切除术，右弯，工作长度≥7.5cm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剪刀⑤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用于镫骨底切除术，左弯，工作长度≥7.5cm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长度测量尺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标志在3,4,和5mm处，长度≥16cm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配置要求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单台套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bottom"/>
              <w:rPr>
                <w:rFonts w:ascii="黑体" w:hAnsi="宋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圆刀1把，45°圆刀①1把，45°圆刀②1把，90°圆刀①1把，90°圆刀②1把，耳刀1把，镰状刀1把，外径1.0 mm吸引管1把，外径1.5 mm吸引管1把，外径2.0 mm吸引管1把，外径2.5 mm吸引管1把，外径0.5 mm吸引管1把，外径0.7 mm吸引管1把，吸引手柄1把，针①1把，45°耳钩1把，90°耳钩①1把，90°耳钩②1把，镫骨底钩1把，针②1把，钩状探针1把，牵开器①1把，牵开器②1把，双头刮匙①1把，双头刮匙②1把，双头刮匙③1把，锤骨咬骨钳1把，耳钳①1把，耳钳②1把，耳钳③1把，耳钳④1把，耳钳⑤1把，耳钳⑥1把，耳钳⑦1把，剪刀①1把，微型剪刀1把，剪刀②1把，剪刀③1把，剥离子2把，剪刀④1把，剪刀⑤1把，长度测量尺1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▲标识的指标和“无标识”指标负偏离≥20项，投标企业技术分值为0分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D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5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2025-03-14T00:16:12Z</dcterms:created>
  <dc:creator>DOCTOR</dc:creator>
  <cp:lastModifiedBy>DOCTOR</cp:lastModifiedBy>
  <dcterms:modified xsi:type="dcterms:W3CDTF">2025-03-14T00:16:19Z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