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</w:pPr>
      <w:bookmarkStart w:id="0" w:name="_Toc14060"/>
      <w:bookmarkStart w:id="1" w:name="_Toc112681847"/>
      <w:bookmarkStart w:id="2" w:name="_Toc132186974"/>
      <w:bookmarkStart w:id="3" w:name="_Toc285612596"/>
      <w:bookmarkStart w:id="4" w:name="_Toc13753"/>
      <w:bookmarkStart w:id="5" w:name="_Toc13168"/>
      <w:bookmarkStart w:id="6" w:name="_Toc17189"/>
      <w:bookmarkStart w:id="7" w:name="_Toc128154367"/>
      <w:bookmarkStart w:id="8" w:name="_Toc32238"/>
      <w:bookmarkStart w:id="9" w:name="_Toc132191258"/>
      <w:bookmarkStart w:id="10" w:name="_Toc22203"/>
      <w:bookmarkStart w:id="11" w:name="_Toc112768493"/>
      <w:bookmarkStart w:id="12" w:name="_Toc22977"/>
      <w:bookmarkStart w:id="13" w:name="_Toc130888006"/>
      <w:bookmarkStart w:id="14" w:name="_Toc128470294"/>
      <w:bookmarkStart w:id="15" w:name="_Toc21712"/>
      <w:bookmarkStart w:id="16" w:name="_Toc25325"/>
      <w:bookmarkStart w:id="17" w:name="_Toc20366"/>
      <w:bookmarkStart w:id="18" w:name="_Toc27651"/>
      <w:r>
        <w:rPr>
          <w:rFonts w:hint="eastAsia" w:ascii="黑体" w:hAnsi="黑体" w:cs="黑体"/>
          <w:b w:val="0"/>
          <w:sz w:val="28"/>
          <w:szCs w:val="28"/>
          <w:highlight w:val="none"/>
        </w:rPr>
        <w:t>一、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商务要求</w:t>
      </w:r>
      <w:r>
        <w:rPr>
          <w:rFonts w:hint="eastAsia" w:ascii="黑体" w:hAnsi="黑体" w:cs="黑体"/>
          <w:b w:val="0"/>
          <w:sz w:val="28"/>
          <w:szCs w:val="28"/>
          <w:lang w:eastAsia="zh-CN"/>
        </w:rPr>
        <w:t>（商务要求（一）、（二）、（三）均为实质性响应条款，不接受负偏离，且须在投标文件的商务技术册中单独附页承诺）</w:t>
      </w:r>
    </w:p>
    <w:p>
      <w:pPr>
        <w:pStyle w:val="6"/>
        <w:spacing w:line="560" w:lineRule="exact"/>
        <w:ind w:firstLine="560"/>
        <w:rPr>
          <w:rFonts w:hAnsi="宋体"/>
          <w:b/>
          <w:bCs w:val="0"/>
          <w:color w:val="auto"/>
          <w:sz w:val="28"/>
          <w:szCs w:val="28"/>
          <w:highlight w:val="none"/>
          <w:u w:val="single"/>
          <w:lang w:val="zh-CN"/>
        </w:rPr>
      </w:pPr>
      <w:r>
        <w:rPr>
          <w:rFonts w:hAnsi="宋体"/>
          <w:b/>
          <w:bCs w:val="0"/>
          <w:color w:val="auto"/>
          <w:sz w:val="28"/>
          <w:szCs w:val="28"/>
          <w:highlight w:val="none"/>
          <w:u w:val="single"/>
          <w:lang w:val="zh-CN"/>
        </w:rPr>
        <w:t>（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u w:val="single"/>
          <w:lang w:val="zh-CN" w:eastAsia="zh-CN"/>
        </w:rPr>
        <w:t>一）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u w:val="single"/>
          <w:lang w:val="en-US" w:eastAsia="zh-CN"/>
        </w:rPr>
        <w:t>经济要求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tbl>
      <w:tblPr>
        <w:tblStyle w:val="4"/>
        <w:tblW w:w="989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"/>
        <w:gridCol w:w="1412"/>
        <w:gridCol w:w="5599"/>
        <w:gridCol w:w="18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5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证明材料等其他要求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1</w:t>
            </w: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交货时间、交货地点</w:t>
            </w:r>
          </w:p>
        </w:tc>
        <w:tc>
          <w:tcPr>
            <w:tcW w:w="5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合同签订后1个月内交付，交付地点由甲方指定。</w:t>
            </w:r>
          </w:p>
        </w:tc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2</w:t>
            </w: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付款及结算方式</w:t>
            </w:r>
          </w:p>
        </w:tc>
        <w:tc>
          <w:tcPr>
            <w:tcW w:w="5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物资到货（服务完成）验收合格且到回款账期后付100%。</w:t>
            </w:r>
          </w:p>
        </w:tc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3</w:t>
            </w: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产品包装和运输要求</w:t>
            </w:r>
          </w:p>
        </w:tc>
        <w:tc>
          <w:tcPr>
            <w:tcW w:w="5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4</w:t>
            </w: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（质保）</w:t>
            </w:r>
          </w:p>
        </w:tc>
        <w:tc>
          <w:tcPr>
            <w:tcW w:w="5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保修年限不低于1年</w:t>
            </w:r>
          </w:p>
        </w:tc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原厂授权（企业承诺）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5</w:t>
            </w: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售后服务2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（质保）</w:t>
            </w:r>
          </w:p>
        </w:tc>
        <w:tc>
          <w:tcPr>
            <w:tcW w:w="5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保修期内免费提供定期维护保养服务，免费提供使用培训。</w:t>
            </w:r>
          </w:p>
        </w:tc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6</w:t>
            </w: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售后服务4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（响应时间）</w:t>
            </w:r>
          </w:p>
        </w:tc>
        <w:tc>
          <w:tcPr>
            <w:tcW w:w="5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</w:rPr>
              <w:t>维修响应时间≤2小时，维修到达现场时间≤24小时。</w:t>
            </w:r>
          </w:p>
        </w:tc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企业承诺</w:t>
            </w:r>
          </w:p>
        </w:tc>
      </w:tr>
    </w:tbl>
    <w:p>
      <w:pPr>
        <w:pStyle w:val="6"/>
        <w:spacing w:line="560" w:lineRule="exact"/>
        <w:ind w:left="0" w:leftChars="0" w:firstLine="562" w:firstLineChars="200"/>
        <w:rPr>
          <w:b/>
          <w:bCs w:val="0"/>
          <w:color w:val="auto"/>
          <w:sz w:val="28"/>
          <w:szCs w:val="28"/>
          <w:highlight w:val="none"/>
          <w:u w:val="single"/>
        </w:rPr>
      </w:pPr>
      <w:r>
        <w:rPr>
          <w:rFonts w:hAnsi="宋体"/>
          <w:b/>
          <w:bCs w:val="0"/>
          <w:color w:val="auto"/>
          <w:sz w:val="28"/>
          <w:szCs w:val="28"/>
          <w:highlight w:val="none"/>
          <w:u w:val="single"/>
          <w:lang w:val="zh-CN"/>
        </w:rPr>
        <w:t>（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u w:val="single"/>
          <w:lang w:eastAsia="zh-CN"/>
        </w:rPr>
        <w:t>二）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u w:val="single"/>
        </w:rPr>
        <w:t>知识产权</w:t>
      </w:r>
      <w:r>
        <w:rPr>
          <w:rFonts w:hAnsi="宋体"/>
          <w:b/>
          <w:bCs w:val="0"/>
          <w:color w:val="auto"/>
          <w:sz w:val="28"/>
          <w:szCs w:val="28"/>
          <w:highlight w:val="none"/>
          <w:u w:val="single"/>
        </w:rPr>
        <w:t>和保密要求</w:t>
      </w:r>
    </w:p>
    <w:p>
      <w:pPr>
        <w:pStyle w:val="6"/>
        <w:spacing w:line="240" w:lineRule="auto"/>
        <w:ind w:firstLine="560" w:firstLineChars="200"/>
        <w:rPr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投标供应商应当保证采购单位在使用该物资或其任何一部分时，不受第三方侵权指控。同时，投标供应商不得向第三方泄露采购机构提供的技术文件等</w:t>
      </w:r>
      <w:r>
        <w:rPr>
          <w:rFonts w:hint="eastAsia" w:ascii="宋体" w:hAnsi="宋体"/>
          <w:bCs/>
          <w:color w:val="auto"/>
          <w:sz w:val="28"/>
          <w:szCs w:val="28"/>
          <w:highlight w:val="none"/>
        </w:rPr>
        <w:t>材料</w:t>
      </w: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。</w:t>
      </w:r>
    </w:p>
    <w:p>
      <w:pPr>
        <w:pStyle w:val="6"/>
        <w:spacing w:line="240" w:lineRule="auto"/>
        <w:ind w:left="0" w:leftChars="0" w:firstLine="560" w:firstLineChars="200"/>
        <w:rPr>
          <w:rFonts w:hint="eastAsia"/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基于项目合同履行形成的知识产权和其他权益，其权属归采购单位所有，法律另有规定的除外。</w:t>
      </w:r>
    </w:p>
    <w:p>
      <w:pPr>
        <w:pStyle w:val="6"/>
        <w:spacing w:line="560" w:lineRule="exact"/>
        <w:ind w:firstLine="560"/>
        <w:rPr>
          <w:rFonts w:hAnsi="宋体"/>
          <w:b/>
          <w:bCs w:val="0"/>
          <w:color w:val="auto"/>
          <w:sz w:val="28"/>
          <w:szCs w:val="28"/>
          <w:highlight w:val="none"/>
          <w:u w:val="single"/>
          <w:lang w:val="zh-CN"/>
        </w:rPr>
      </w:pPr>
      <w:r>
        <w:rPr>
          <w:rFonts w:hint="eastAsia" w:hAnsi="宋体"/>
          <w:b/>
          <w:bCs w:val="0"/>
          <w:color w:val="auto"/>
          <w:sz w:val="28"/>
          <w:szCs w:val="28"/>
          <w:highlight w:val="none"/>
          <w:u w:val="single"/>
          <w:lang w:val="zh-CN"/>
        </w:rPr>
        <w:t>（三）物资编目编码、打码贴签</w:t>
      </w:r>
      <w:r>
        <w:rPr>
          <w:rFonts w:hAnsi="宋体"/>
          <w:b/>
          <w:bCs w:val="0"/>
          <w:color w:val="auto"/>
          <w:sz w:val="28"/>
          <w:szCs w:val="28"/>
          <w:highlight w:val="none"/>
          <w:u w:val="single"/>
          <w:lang w:val="zh-CN"/>
        </w:rPr>
        <w:t>要求</w:t>
      </w:r>
    </w:p>
    <w:p>
      <w:pPr>
        <w:pStyle w:val="6"/>
        <w:spacing w:line="240" w:lineRule="auto"/>
        <w:ind w:firstLine="560" w:firstLineChars="200"/>
        <w:rPr>
          <w:rFonts w:hint="eastAsia"/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本项目对物资的编目编码、打码贴签要求，投标供应商应当予以明确响应，相关费用包含在报价中。</w:t>
      </w:r>
    </w:p>
    <w:p>
      <w:pPr>
        <w:pStyle w:val="6"/>
        <w:spacing w:line="240" w:lineRule="auto"/>
        <w:ind w:firstLine="560"/>
        <w:rPr>
          <w:bCs/>
          <w:color w:val="auto"/>
          <w:sz w:val="28"/>
          <w:szCs w:val="28"/>
          <w:highlight w:val="none"/>
          <w:lang w:val="zh-CN"/>
        </w:rPr>
      </w:pPr>
    </w:p>
    <w:p>
      <w:pP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br w:type="page"/>
      </w:r>
    </w:p>
    <w:p>
      <w:pP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3"/>
        <w:numPr>
          <w:ilvl w:val="0"/>
          <w:numId w:val="1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技术要求</w:t>
      </w:r>
      <w:bookmarkEnd w:id="17"/>
      <w:bookmarkEnd w:id="18"/>
    </w:p>
    <w:p>
      <w:pPr>
        <w:pStyle w:val="2"/>
      </w:pPr>
    </w:p>
    <w:tbl>
      <w:tblPr>
        <w:tblStyle w:val="4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33"/>
        <w:gridCol w:w="1356"/>
        <w:gridCol w:w="720"/>
        <w:gridCol w:w="75"/>
        <w:gridCol w:w="1095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7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喉显微手术器械包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序号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用于喉部早期良性或恶性肿瘤、声带息肉、声带囊肿、声带白斑等各类手术的显微操作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资质认证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提供备案凭证或注册证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注册证及相关认证材料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材质要求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进口优质钢材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支撑喉镜</w:t>
            </w:r>
            <w:r>
              <w:rPr>
                <w:rFonts w:ascii="Calibri" w:hAnsi="Calibri" w:eastAsia="黑体" w:cs="Calibri"/>
                <w:sz w:val="20"/>
                <w:szCs w:val="20"/>
              </w:rPr>
              <w:t>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适用激光手术。无源、180×18.5×24（mm）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支撑喉镜</w:t>
            </w:r>
            <w:r>
              <w:rPr>
                <w:rFonts w:ascii="Calibri" w:hAnsi="Calibri" w:eastAsia="黑体" w:cs="Calibri"/>
                <w:sz w:val="20"/>
                <w:szCs w:val="20"/>
              </w:rPr>
              <w:t>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适用食管手术。无源、210×18×22（mm）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支撑喉镜</w:t>
            </w:r>
            <w:r>
              <w:rPr>
                <w:rFonts w:ascii="Calibri" w:hAnsi="Calibri" w:eastAsia="黑体" w:cs="Calibri"/>
                <w:sz w:val="20"/>
                <w:szCs w:val="20"/>
              </w:rPr>
              <w:t>③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适用激光手术。无源、160×18×23（mm）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支撑喉镜</w:t>
            </w:r>
            <w:r>
              <w:rPr>
                <w:rFonts w:hint="eastAsia" w:ascii="黑体" w:hAnsi="宋体" w:eastAsia="黑体" w:cs="黑体"/>
                <w:sz w:val="20"/>
                <w:szCs w:val="20"/>
              </w:rPr>
              <w:fldChar w:fldCharType="begin"/>
            </w:r>
            <w:r>
              <w:rPr>
                <w:rFonts w:hint="eastAsia" w:ascii="黑体" w:hAnsi="宋体" w:eastAsia="黑体" w:cs="黑体"/>
                <w:sz w:val="20"/>
                <w:szCs w:val="20"/>
              </w:rPr>
              <w:instrText xml:space="preserve"> = 4 \* GB3 \* MERGEFORMAT </w:instrText>
            </w:r>
            <w:r>
              <w:rPr>
                <w:rFonts w:hint="eastAsia" w:ascii="黑体" w:hAnsi="宋体" w:eastAsia="黑体" w:cs="黑体"/>
                <w:sz w:val="20"/>
                <w:szCs w:val="20"/>
              </w:rPr>
              <w:fldChar w:fldCharType="separate"/>
            </w:r>
            <w:r>
              <w:t>④</w:t>
            </w:r>
            <w:r>
              <w:rPr>
                <w:rFonts w:hint="eastAsia" w:ascii="黑体" w:hAnsi="宋体" w:eastAsia="黑体" w:cs="黑体"/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适用常规手术。无源、180×18×23（mm）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支撑喉镜</w:t>
            </w:r>
            <w:r>
              <w:rPr>
                <w:rFonts w:hint="eastAsia" w:ascii="黑体" w:hAnsi="宋体" w:eastAsia="黑体" w:cs="黑体"/>
                <w:sz w:val="20"/>
                <w:szCs w:val="20"/>
              </w:rPr>
              <w:fldChar w:fldCharType="begin"/>
            </w:r>
            <w:r>
              <w:rPr>
                <w:rFonts w:hint="eastAsia" w:ascii="黑体" w:hAnsi="宋体" w:eastAsia="黑体" w:cs="黑体"/>
                <w:sz w:val="20"/>
                <w:szCs w:val="20"/>
              </w:rPr>
              <w:instrText xml:space="preserve"> = 5 \* GB3 \* MERGEFORMAT </w:instrText>
            </w:r>
            <w:r>
              <w:rPr>
                <w:rFonts w:hint="eastAsia" w:ascii="黑体" w:hAnsi="宋体" w:eastAsia="黑体" w:cs="黑体"/>
                <w:sz w:val="20"/>
                <w:szCs w:val="20"/>
              </w:rPr>
              <w:fldChar w:fldCharType="separate"/>
            </w:r>
            <w:r>
              <w:t>⑤</w:t>
            </w:r>
            <w:r>
              <w:rPr>
                <w:rFonts w:hint="eastAsia" w:ascii="黑体" w:hAnsi="宋体" w:eastAsia="黑体" w:cs="黑体"/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适用常规手术。无源、160×18×23（mm）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支撑喉镜</w:t>
            </w:r>
            <w:r>
              <w:rPr>
                <w:rFonts w:hint="eastAsia" w:ascii="黑体" w:hAnsi="宋体" w:eastAsia="黑体" w:cs="黑体"/>
                <w:sz w:val="20"/>
                <w:szCs w:val="20"/>
              </w:rPr>
              <w:fldChar w:fldCharType="begin"/>
            </w:r>
            <w:r>
              <w:rPr>
                <w:rFonts w:hint="eastAsia" w:ascii="黑体" w:hAnsi="宋体" w:eastAsia="黑体" w:cs="黑体"/>
                <w:sz w:val="20"/>
                <w:szCs w:val="20"/>
              </w:rPr>
              <w:instrText xml:space="preserve"> = 6 \* GB3 \* MERGEFORMAT </w:instrText>
            </w:r>
            <w:r>
              <w:rPr>
                <w:rFonts w:hint="eastAsia" w:ascii="黑体" w:hAnsi="宋体" w:eastAsia="黑体" w:cs="黑体"/>
                <w:sz w:val="20"/>
                <w:szCs w:val="20"/>
              </w:rPr>
              <w:fldChar w:fldCharType="separate"/>
            </w:r>
            <w:r>
              <w:t>⑥</w:t>
            </w:r>
            <w:r>
              <w:rPr>
                <w:rFonts w:hint="eastAsia" w:ascii="黑体" w:hAnsi="宋体" w:eastAsia="黑体" w:cs="黑体"/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适用常规手术。无源、140×16.5×22（mm）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45⁰喉息肉钳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 xml:space="preserve">无源上翘45⁰、前后开口、头颈总长：4mm、碗外径：2mm、总长：250mm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11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直头喉息肉钳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无源直头，0°、上下开口、头颈总长：4mm、碗外径：2mm、总长：250mm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12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喉息肉钳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 xml:space="preserve">无源上翘45°、前后开口、直径2mm、总长：250mm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13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喉分离钳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 xml:space="preserve">无源直形，上下开口、5×0.5×0.7（mm）、无创、常规、总长：250mm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14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右斜45°喉黏膜钳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无源上翘45°、右斜40°、4×2×0.6（mm）、无创、总长：250mm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15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左斜45°喉黏膜钳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无源上翘45°、左斜40°、4×2×0.6（mm）、无创、总长：250mm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16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45⁰显微喉剪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 xml:space="preserve">无源上翘45⁰，剪片头端高0.1mm、剪片头端厚0.2mm、总长：250mm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17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20⁰显微喉剪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 xml:space="preserve">无源上翘20⁰、剪片头端高0.1mm、剪片头端厚0.2mm、总长：250mm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18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直形显微喉剪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无源直形、锐头、0⁰、剪片头端高0.1mm、剪片头端厚0.2mm、总长：250mm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19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显微持针钳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无源直形、钳端3.7×1×1.3（mm）、上片横纹，下片网纹。总长：250mm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20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刀柄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无源钳式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21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镰状显微喉刀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无源镰状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22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打结器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 xml:space="preserve">无源开口、直形、头直径3mm，环直径0.5mm、总长：240mm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23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带孔吸引管</w:t>
            </w:r>
            <w:r>
              <w:rPr>
                <w:rFonts w:ascii="Calibri" w:hAnsi="Calibri" w:eastAsia="黑体" w:cs="Calibri"/>
                <w:sz w:val="20"/>
                <w:szCs w:val="20"/>
              </w:rPr>
              <w:t>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 xml:space="preserve">无源头直径3mm、常规、带孔、工作长度：220mm、总长：315mm  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24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带孔吸引管</w:t>
            </w:r>
            <w:r>
              <w:rPr>
                <w:rFonts w:ascii="Calibri" w:hAnsi="Calibri" w:eastAsia="黑体" w:cs="Calibri"/>
                <w:sz w:val="20"/>
                <w:szCs w:val="20"/>
              </w:rPr>
              <w:t>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无源头直径2.5mm、常规、带孔、工作长度：220mm、总长：315mm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25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无孔吸引管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 xml:space="preserve">无源头直径2.5mm、无创、无孔、工作长度：220mm、总长：315mm 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26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无创带孔吸引管</w:t>
            </w:r>
            <w:r>
              <w:rPr>
                <w:rFonts w:ascii="Calibri" w:hAnsi="Calibri" w:eastAsia="黑体" w:cs="Calibri"/>
                <w:sz w:val="20"/>
                <w:szCs w:val="20"/>
              </w:rPr>
              <w:t>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 xml:space="preserve">无源头直径3mm、无创、带孔、工作长度：220mm、总长：315mm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27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无创带孔吸引管</w:t>
            </w:r>
            <w:r>
              <w:rPr>
                <w:rFonts w:ascii="Calibri" w:hAnsi="Calibri" w:eastAsia="黑体" w:cs="Calibri"/>
                <w:sz w:val="20"/>
                <w:szCs w:val="20"/>
              </w:rPr>
              <w:t>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 xml:space="preserve">无源头直径2.5mm、无创、带孔、工作长度：220mm、总长：315mm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28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显微剥离子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 xml:space="preserve">无源微弯、6×1.2×0.4（mm）、总长：240mm 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29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直球头显微喉针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 xml:space="preserve">无源直形、球头、总长：240mm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30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直尖头显微喉针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 xml:space="preserve">无源直形、尖头、总长：240mm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31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90°尖头显微喉针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 xml:space="preserve">无源 90°、尖头、总长：240mm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32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半圆显微喉刀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 xml:space="preserve">无源半圆、总长：240mm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33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支撑喉镜支撑架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无源常规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34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通用光导适配器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无源通配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35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牵开器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 xml:space="preserve">无源直形、7×0.5×3（mm）、总长：250mm 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36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配置要求</w:t>
            </w:r>
            <w:r>
              <w:rPr>
                <w:rFonts w:ascii="黑体" w:hAnsi="宋体" w:eastAsia="黑体" w:cs="黑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单台套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spacing w:line="280" w:lineRule="exact"/>
              <w:jc w:val="left"/>
              <w:textAlignment w:val="bottom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支撑喉镜</w:t>
            </w:r>
            <w:r>
              <w:rPr>
                <w:rFonts w:ascii="Calibri" w:hAnsi="Calibri" w:eastAsia="黑体" w:cs="Calibri"/>
                <w:sz w:val="20"/>
                <w:szCs w:val="20"/>
              </w:rPr>
              <w:t>①</w:t>
            </w:r>
            <w:r>
              <w:rPr>
                <w:rFonts w:hint="eastAsia" w:ascii="宋体" w:hAnsi="宋体" w:eastAsia="黑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把，支撑喉镜</w:t>
            </w:r>
            <w:r>
              <w:rPr>
                <w:rFonts w:ascii="Calibri" w:hAnsi="Calibri" w:eastAsia="黑体" w:cs="Calibri"/>
                <w:sz w:val="20"/>
                <w:szCs w:val="20"/>
              </w:rPr>
              <w:t>②</w:t>
            </w:r>
            <w:r>
              <w:rPr>
                <w:rFonts w:hint="eastAsia" w:ascii="宋体" w:hAnsi="宋体" w:eastAsia="黑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把，支撑喉镜</w:t>
            </w:r>
            <w:r>
              <w:rPr>
                <w:rFonts w:ascii="Calibri" w:hAnsi="Calibri" w:eastAsia="黑体" w:cs="Calibri"/>
                <w:sz w:val="20"/>
                <w:szCs w:val="20"/>
              </w:rPr>
              <w:t>③</w:t>
            </w:r>
            <w:r>
              <w:rPr>
                <w:rFonts w:hint="eastAsia" w:ascii="宋体" w:hAnsi="宋体" w:eastAsia="黑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把，支撑喉镜</w:t>
            </w:r>
            <w:r>
              <w:rPr>
                <w:rFonts w:hint="eastAsia" w:ascii="黑体" w:hAnsi="宋体" w:eastAsia="黑体" w:cs="黑体"/>
                <w:sz w:val="20"/>
                <w:szCs w:val="20"/>
              </w:rPr>
              <w:fldChar w:fldCharType="begin"/>
            </w:r>
            <w:r>
              <w:rPr>
                <w:rFonts w:hint="eastAsia" w:ascii="黑体" w:hAnsi="宋体" w:eastAsia="黑体" w:cs="黑体"/>
                <w:sz w:val="20"/>
                <w:szCs w:val="20"/>
              </w:rPr>
              <w:instrText xml:space="preserve"> = 4 \* GB3 \* MERGEFORMAT </w:instrText>
            </w:r>
            <w:r>
              <w:rPr>
                <w:rFonts w:hint="eastAsia" w:ascii="黑体" w:hAnsi="宋体" w:eastAsia="黑体" w:cs="黑体"/>
                <w:sz w:val="20"/>
                <w:szCs w:val="20"/>
              </w:rPr>
              <w:fldChar w:fldCharType="separate"/>
            </w:r>
            <w:r>
              <w:t>④</w:t>
            </w:r>
            <w:r>
              <w:rPr>
                <w:rFonts w:hint="eastAsia" w:ascii="黑体" w:hAnsi="宋体" w:eastAsia="黑体" w:cs="黑体"/>
                <w:sz w:val="20"/>
                <w:szCs w:val="20"/>
              </w:rPr>
              <w:fldChar w:fldCharType="end"/>
            </w:r>
            <w:r>
              <w:rPr>
                <w:rFonts w:hint="eastAsia" w:ascii="宋体" w:hAnsi="宋体" w:eastAsia="黑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把，支撑喉镜</w:t>
            </w:r>
            <w:r>
              <w:rPr>
                <w:rFonts w:hint="eastAsia" w:ascii="黑体" w:hAnsi="宋体" w:eastAsia="黑体" w:cs="黑体"/>
                <w:sz w:val="20"/>
                <w:szCs w:val="20"/>
              </w:rPr>
              <w:fldChar w:fldCharType="begin"/>
            </w:r>
            <w:r>
              <w:rPr>
                <w:rFonts w:hint="eastAsia" w:ascii="黑体" w:hAnsi="宋体" w:eastAsia="黑体" w:cs="黑体"/>
                <w:sz w:val="20"/>
                <w:szCs w:val="20"/>
              </w:rPr>
              <w:instrText xml:space="preserve"> = 5 \* GB3 \* MERGEFORMAT </w:instrText>
            </w:r>
            <w:r>
              <w:rPr>
                <w:rFonts w:hint="eastAsia" w:ascii="黑体" w:hAnsi="宋体" w:eastAsia="黑体" w:cs="黑体"/>
                <w:sz w:val="20"/>
                <w:szCs w:val="20"/>
              </w:rPr>
              <w:fldChar w:fldCharType="separate"/>
            </w:r>
            <w:r>
              <w:t>⑤</w:t>
            </w:r>
            <w:r>
              <w:rPr>
                <w:rFonts w:hint="eastAsia" w:ascii="黑体" w:hAnsi="宋体" w:eastAsia="黑体" w:cs="黑体"/>
                <w:sz w:val="20"/>
                <w:szCs w:val="20"/>
              </w:rPr>
              <w:fldChar w:fldCharType="end"/>
            </w:r>
            <w:r>
              <w:rPr>
                <w:rFonts w:hint="eastAsia" w:ascii="宋体" w:hAnsi="宋体" w:eastAsia="黑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把，支撑喉镜</w:t>
            </w:r>
            <w:r>
              <w:rPr>
                <w:rFonts w:hint="eastAsia" w:ascii="黑体" w:hAnsi="宋体" w:eastAsia="黑体" w:cs="黑体"/>
                <w:sz w:val="20"/>
                <w:szCs w:val="20"/>
              </w:rPr>
              <w:fldChar w:fldCharType="begin"/>
            </w:r>
            <w:r>
              <w:rPr>
                <w:rFonts w:hint="eastAsia" w:ascii="黑体" w:hAnsi="宋体" w:eastAsia="黑体" w:cs="黑体"/>
                <w:sz w:val="20"/>
                <w:szCs w:val="20"/>
              </w:rPr>
              <w:instrText xml:space="preserve"> = 6 \* GB3 \* MERGEFORMAT </w:instrText>
            </w:r>
            <w:r>
              <w:rPr>
                <w:rFonts w:hint="eastAsia" w:ascii="黑体" w:hAnsi="宋体" w:eastAsia="黑体" w:cs="黑体"/>
                <w:sz w:val="20"/>
                <w:szCs w:val="20"/>
              </w:rPr>
              <w:fldChar w:fldCharType="separate"/>
            </w:r>
            <w:r>
              <w:t>⑥</w:t>
            </w:r>
            <w:r>
              <w:rPr>
                <w:rFonts w:hint="eastAsia" w:ascii="黑体" w:hAnsi="宋体" w:eastAsia="黑体" w:cs="黑体"/>
                <w:sz w:val="20"/>
                <w:szCs w:val="20"/>
              </w:rPr>
              <w:fldChar w:fldCharType="end"/>
            </w:r>
            <w:r>
              <w:rPr>
                <w:rFonts w:hint="eastAsia" w:ascii="宋体" w:hAnsi="宋体" w:eastAsia="黑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把，45⁰喉息肉钳1把，直头喉息肉钳1把，喉息肉钳1把，喉分离钳1把，右斜45°喉黏膜钳1把，左斜45°喉黏膜钳1把，45⁰显微喉剪1把，20⁰显微喉剪1把，直形显微喉剪1把，显微持针钳1把，刀柄1把，镰状显微喉刀1把，打结器1把，带孔吸引管</w:t>
            </w:r>
            <w:r>
              <w:rPr>
                <w:rFonts w:ascii="Calibri" w:hAnsi="Calibri" w:eastAsia="黑体" w:cs="Calibri"/>
                <w:sz w:val="20"/>
                <w:szCs w:val="20"/>
              </w:rPr>
              <w:t>①</w:t>
            </w:r>
            <w:r>
              <w:rPr>
                <w:rFonts w:hint="eastAsia" w:ascii="宋体" w:hAnsi="宋体" w:eastAsia="黑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把，带孔吸引管</w:t>
            </w:r>
            <w:r>
              <w:rPr>
                <w:rFonts w:ascii="Calibri" w:hAnsi="Calibri" w:eastAsia="黑体" w:cs="Calibri"/>
                <w:sz w:val="20"/>
                <w:szCs w:val="20"/>
              </w:rPr>
              <w:t>②</w:t>
            </w:r>
            <w:r>
              <w:rPr>
                <w:rFonts w:hint="eastAsia" w:ascii="宋体" w:hAnsi="宋体" w:eastAsia="黑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把，无孔吸引管1把，无创带孔吸引管</w:t>
            </w:r>
            <w:r>
              <w:rPr>
                <w:rFonts w:ascii="Calibri" w:hAnsi="Calibri" w:eastAsia="黑体" w:cs="Calibri"/>
                <w:sz w:val="20"/>
                <w:szCs w:val="20"/>
              </w:rPr>
              <w:t>①</w:t>
            </w:r>
            <w:r>
              <w:rPr>
                <w:rFonts w:hint="eastAsia" w:ascii="宋体" w:hAnsi="宋体" w:eastAsia="黑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把，无创带孔吸引管</w:t>
            </w:r>
            <w:r>
              <w:rPr>
                <w:rFonts w:ascii="Calibri" w:hAnsi="Calibri" w:eastAsia="黑体" w:cs="Calibri"/>
                <w:sz w:val="20"/>
                <w:szCs w:val="20"/>
              </w:rPr>
              <w:t>②</w:t>
            </w:r>
            <w:r>
              <w:rPr>
                <w:rFonts w:hint="eastAsia" w:ascii="宋体" w:hAnsi="宋体" w:eastAsia="黑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把，显微剥离子1把，直球头显微喉针1把，直尖头显微喉针1把，90°尖头显微喉针1把，半圆显微喉刀1把，支撑喉镜支撑架1把，通用光导适配器1把，牵开器1把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▲标识的指标负偏离≥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14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项，投标企业技术分值为0分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▲标识的指标和“无标识”指标负偏离≥20项，投标企业技术分值为0分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1.加注★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标识的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指标为必须响应指标，任意一项不满足要求即做废标处理；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加注▲标识的指标为重要指标；</w:t>
            </w:r>
          </w:p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3.需按照采购需求表备注中明确的要求提供相关证明材料。</w:t>
            </w:r>
          </w:p>
        </w:tc>
      </w:tr>
    </w:tbl>
    <w:p>
      <w:bookmarkStart w:id="19" w:name="_GoBack"/>
      <w:bookmarkEnd w:id="1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9FE1BD"/>
    <w:multiLevelType w:val="singleLevel"/>
    <w:tmpl w:val="6D9FE1B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037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2025-03-14T00:17:06Z</dcterms:created>
  <dc:creator>DOCTOR</dc:creator>
  <cp:lastModifiedBy>DOCTOR</cp:lastModifiedBy>
  <dcterms:modified xsi:type="dcterms:W3CDTF">2025-03-14T00:17:19Z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