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adjustRightInd w:val="0"/>
        <w:snapToGrid w:val="0"/>
        <w:spacing w:line="560" w:lineRule="exact"/>
        <w:jc w:val="center"/>
        <w:rPr>
          <w:b w:val="0"/>
          <w:color w:val="auto"/>
          <w:szCs w:val="44"/>
          <w:highlight w:val="none"/>
          <w:lang w:val="zh-CN"/>
        </w:rPr>
      </w:pPr>
      <w:bookmarkStart w:id="0" w:name="_Toc30564"/>
      <w:bookmarkStart w:id="1" w:name="_Toc21632"/>
      <w:bookmarkStart w:id="2" w:name="_Toc128154366"/>
      <w:bookmarkStart w:id="3" w:name="_Toc9692"/>
      <w:bookmarkStart w:id="4" w:name="_Toc132191257"/>
      <w:bookmarkStart w:id="5" w:name="_Toc132186973"/>
      <w:bookmarkStart w:id="6" w:name="_Toc128470293"/>
      <w:bookmarkStart w:id="7" w:name="_Toc130661176"/>
      <w:bookmarkStart w:id="8" w:name="_Toc130888005"/>
      <w:bookmarkStart w:id="9" w:name="_Toc112768491"/>
      <w:bookmarkStart w:id="10" w:name="_Toc28545"/>
      <w:bookmarkStart w:id="11" w:name="_Toc32050"/>
      <w:bookmarkStart w:id="12" w:name="_Toc22553"/>
      <w:bookmarkStart w:id="13" w:name="_Toc112317781"/>
      <w:r>
        <w:rPr>
          <w:rFonts w:hint="eastAsia"/>
          <w:b w:val="0"/>
          <w:color w:val="auto"/>
          <w:szCs w:val="44"/>
          <w:highlight w:val="none"/>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p>
    <w:p>
      <w:pPr>
        <w:pStyle w:val="113"/>
        <w:spacing w:line="560" w:lineRule="exact"/>
        <w:ind w:firstLine="560"/>
        <w:rPr>
          <w:rFonts w:hint="eastAsia" w:hAnsi="宋体"/>
          <w:bCs/>
          <w:color w:val="auto"/>
          <w:sz w:val="28"/>
          <w:szCs w:val="28"/>
          <w:highlight w:val="none"/>
          <w:lang w:val="zh-CN"/>
        </w:rPr>
      </w:pPr>
      <w:r>
        <w:rPr>
          <w:rFonts w:hint="eastAsia" w:ascii="宋体" w:hAnsi="宋体"/>
          <w:bCs/>
          <w:snapToGrid w:val="0"/>
          <w:color w:val="auto"/>
          <w:sz w:val="28"/>
          <w:szCs w:val="28"/>
          <w:highlight w:val="none"/>
        </w:rPr>
        <w:t>按照采购单位提供的技术要求拟制。采购单位根据项目实际情况及各项指标的重要程度，在序号列逐条进行标识（标识包含：“★”、“▲”或“无标识”）。采购评审时★、▲号或无标识指标的重要程度逐级递减，★指标为必须响应指标，任意一项不满足要求即做废标处理；★及▲标识的指标，由采购单位要逐条明确证明材料，未明确的默认由企业提供承诺。</w:t>
      </w:r>
    </w:p>
    <w:tbl>
      <w:tblPr>
        <w:tblStyle w:val="42"/>
        <w:tblW w:w="9060" w:type="dxa"/>
        <w:tblInd w:w="0" w:type="dxa"/>
        <w:tblLayout w:type="fixed"/>
        <w:tblCellMar>
          <w:top w:w="0" w:type="dxa"/>
          <w:left w:w="108" w:type="dxa"/>
          <w:bottom w:w="0" w:type="dxa"/>
          <w:right w:w="108" w:type="dxa"/>
        </w:tblCellMar>
      </w:tblPr>
      <w:tblGrid>
        <w:gridCol w:w="501"/>
        <w:gridCol w:w="1389"/>
        <w:gridCol w:w="663"/>
        <w:gridCol w:w="4550"/>
        <w:gridCol w:w="543"/>
        <w:gridCol w:w="1414"/>
      </w:tblGrid>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color w:val="auto"/>
                <w:sz w:val="20"/>
                <w:szCs w:val="20"/>
                <w:highlight w:val="none"/>
              </w:rPr>
            </w:pPr>
            <w:bookmarkStart w:id="14" w:name="_Toc128397970"/>
            <w:bookmarkStart w:id="15" w:name="_Toc128151027"/>
            <w:bookmarkStart w:id="16" w:name="_Toc1694"/>
            <w:bookmarkStart w:id="17" w:name="_Toc132190634"/>
            <w:bookmarkStart w:id="18" w:name="_Toc128150778"/>
            <w:bookmarkStart w:id="19" w:name="_Toc128150134"/>
            <w:bookmarkStart w:id="20" w:name="_Toc13097"/>
            <w:bookmarkStart w:id="21" w:name="_Toc130887500"/>
            <w:bookmarkStart w:id="22" w:name="_Toc127820564"/>
            <w:r>
              <w:rPr>
                <w:rFonts w:hint="eastAsia" w:ascii="黑体" w:hAnsi="宋体" w:eastAsia="黑体" w:cs="黑体"/>
                <w:color w:val="auto"/>
                <w:kern w:val="0"/>
                <w:sz w:val="20"/>
                <w:szCs w:val="20"/>
                <w:highlight w:val="none"/>
              </w:rPr>
              <w:t>序号</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需求名称</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参数</w:t>
            </w:r>
          </w:p>
          <w:p>
            <w:pPr>
              <w:widowControl/>
              <w:spacing w:line="240" w:lineRule="exact"/>
              <w:jc w:val="center"/>
              <w:textAlignment w:val="center"/>
              <w:rPr>
                <w:rFonts w:ascii="黑体" w:hAnsi="宋体" w:eastAsia="黑体" w:cs="黑体"/>
                <w:color w:val="auto"/>
                <w:sz w:val="20"/>
                <w:szCs w:val="20"/>
                <w:highlight w:val="none"/>
              </w:rPr>
            </w:pPr>
            <w:r>
              <w:rPr>
                <w:rFonts w:hint="eastAsia" w:ascii="黑体" w:hAnsi="宋体" w:eastAsia="黑体" w:cs="黑体"/>
                <w:color w:val="auto"/>
                <w:kern w:val="0"/>
                <w:sz w:val="20"/>
                <w:szCs w:val="20"/>
                <w:highlight w:val="none"/>
              </w:rPr>
              <w:t>性质</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color w:val="auto"/>
                <w:sz w:val="20"/>
                <w:szCs w:val="20"/>
                <w:highlight w:val="none"/>
              </w:rPr>
            </w:pPr>
            <w:r>
              <w:rPr>
                <w:rFonts w:hint="eastAsia" w:ascii="黑体" w:hAnsi="宋体" w:eastAsia="黑体" w:cs="黑体"/>
                <w:color w:val="auto"/>
                <w:kern w:val="0"/>
                <w:sz w:val="20"/>
                <w:szCs w:val="20"/>
                <w:highlight w:val="none"/>
              </w:rPr>
              <w:t>需求具体内容</w:t>
            </w:r>
          </w:p>
        </w:tc>
        <w:tc>
          <w:tcPr>
            <w:tcW w:w="543" w:type="dxa"/>
            <w:tcBorders>
              <w:top w:val="single" w:color="000000" w:sz="4" w:space="0"/>
              <w:left w:val="single" w:color="000000" w:sz="4" w:space="0"/>
              <w:bottom w:val="nil"/>
              <w:right w:val="single" w:color="000000" w:sz="4" w:space="0"/>
            </w:tcBorders>
            <w:noWrap/>
            <w:vAlign w:val="center"/>
          </w:tcPr>
          <w:p>
            <w:pPr>
              <w:widowControl/>
              <w:spacing w:line="240" w:lineRule="exact"/>
              <w:jc w:val="center"/>
              <w:textAlignment w:val="center"/>
              <w:rPr>
                <w:rFonts w:ascii="黑体" w:hAnsi="宋体" w:eastAsia="黑体" w:cs="黑体"/>
                <w:color w:val="auto"/>
                <w:sz w:val="20"/>
                <w:szCs w:val="20"/>
                <w:highlight w:val="none"/>
              </w:rPr>
            </w:pPr>
            <w:r>
              <w:rPr>
                <w:rFonts w:hint="eastAsia" w:ascii="黑体" w:hAnsi="宋体" w:eastAsia="黑体" w:cs="黑体"/>
                <w:color w:val="auto"/>
                <w:kern w:val="0"/>
                <w:sz w:val="20"/>
                <w:szCs w:val="20"/>
                <w:highlight w:val="none"/>
              </w:rPr>
              <w:t>是否</w:t>
            </w:r>
            <w:r>
              <w:rPr>
                <w:rFonts w:hint="eastAsia" w:ascii="黑体" w:hAnsi="宋体" w:eastAsia="黑体" w:cs="黑体"/>
                <w:color w:val="auto"/>
                <w:kern w:val="0"/>
                <w:sz w:val="20"/>
                <w:szCs w:val="20"/>
                <w:highlight w:val="none"/>
              </w:rPr>
              <w:br w:type="textWrapping"/>
            </w:r>
            <w:r>
              <w:rPr>
                <w:rFonts w:hint="eastAsia" w:ascii="黑体" w:hAnsi="宋体" w:eastAsia="黑体" w:cs="黑体"/>
                <w:color w:val="auto"/>
                <w:kern w:val="0"/>
                <w:sz w:val="20"/>
                <w:szCs w:val="20"/>
                <w:highlight w:val="none"/>
              </w:rPr>
              <w:t>量化</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color w:val="auto"/>
                <w:sz w:val="20"/>
                <w:szCs w:val="20"/>
                <w:highlight w:val="none"/>
              </w:rPr>
            </w:pPr>
            <w:r>
              <w:rPr>
                <w:rFonts w:hint="eastAsia" w:ascii="黑体" w:hAnsi="宋体" w:eastAsia="黑体" w:cs="黑体"/>
                <w:color w:val="auto"/>
                <w:kern w:val="0"/>
                <w:sz w:val="20"/>
                <w:szCs w:val="20"/>
                <w:highlight w:val="none"/>
              </w:rPr>
              <w:t>备注（证明材料等其他要求）</w:t>
            </w:r>
          </w:p>
        </w:tc>
      </w:tr>
      <w:tr>
        <w:tblPrEx>
          <w:tblCellMar>
            <w:top w:w="0" w:type="dxa"/>
            <w:left w:w="108" w:type="dxa"/>
            <w:bottom w:w="0" w:type="dxa"/>
            <w:right w:w="108" w:type="dxa"/>
          </w:tblCellMar>
        </w:tblPrEx>
        <w:trPr>
          <w:trHeight w:val="500" w:hRule="atLeast"/>
        </w:trPr>
        <w:tc>
          <w:tcPr>
            <w:tcW w:w="9060" w:type="dxa"/>
            <w:gridSpan w:val="6"/>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技术要求</w:t>
            </w: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基本要求</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独立的血流动力学监测设备，实现连续监测患者的血流动力学状态，用于目标导向的液体治疗和和药物干预</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企业承诺</w:t>
            </w: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资质认证</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Style w:val="151"/>
                <w:color w:val="auto"/>
                <w:highlight w:val="none"/>
                <w:lang w:val="en-US" w:eastAsia="zh-CN" w:bidi="ar"/>
              </w:rPr>
              <w:t>CFDA认证</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注册证</w:t>
            </w: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3</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功能要求</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通过微创和无创监测模式均可实现实时连续血流动力学监测</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彩页或技术白皮书</w:t>
            </w: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4</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无创模式</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具备，患者可通过无创伤的连接方式与血流动力学监测设备的人体生物信号采集装置连接</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黑体" w:hAnsi="宋体" w:eastAsia="黑体" w:cs="黑体"/>
                <w:i w:val="0"/>
                <w:iCs w:val="0"/>
                <w:color w:val="auto"/>
                <w:sz w:val="22"/>
                <w:szCs w:val="22"/>
                <w:highlight w:val="none"/>
                <w:u w:val="none"/>
              </w:rPr>
            </w:pP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5</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微创模式</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黑体" w:hAnsi="宋体" w:eastAsia="黑体" w:cs="黑体"/>
                <w:i w:val="0"/>
                <w:iCs w:val="0"/>
                <w:color w:val="auto"/>
                <w:sz w:val="22"/>
                <w:szCs w:val="22"/>
                <w:highlight w:val="none"/>
                <w:u w:val="none"/>
              </w:rPr>
            </w:pP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具备微创压力套监测功能</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黑体" w:hAnsi="宋体" w:eastAsia="黑体" w:cs="黑体"/>
                <w:i w:val="0"/>
                <w:iCs w:val="0"/>
                <w:color w:val="auto"/>
                <w:sz w:val="22"/>
                <w:szCs w:val="22"/>
                <w:highlight w:val="none"/>
                <w:u w:val="none"/>
              </w:rPr>
            </w:pP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6</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监测参数</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黑体" w:hAnsi="宋体" w:eastAsia="黑体" w:cs="黑体"/>
                <w:i w:val="0"/>
                <w:iCs w:val="0"/>
                <w:color w:val="auto"/>
                <w:sz w:val="22"/>
                <w:szCs w:val="22"/>
                <w:highlight w:val="none"/>
                <w:u w:val="none"/>
              </w:rPr>
            </w:pP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至少包含心率（HR）、心输出量（CO）、心脏指数（CI）、每搏输出变异率（SVV）、外周血管阻力（SVR）、脉压变异度（SVV）</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黑体" w:hAnsi="宋体" w:eastAsia="黑体" w:cs="黑体"/>
                <w:i w:val="0"/>
                <w:iCs w:val="0"/>
                <w:color w:val="auto"/>
                <w:sz w:val="22"/>
                <w:szCs w:val="22"/>
                <w:highlight w:val="none"/>
                <w:u w:val="none"/>
              </w:rPr>
            </w:pP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7</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容量负荷试验流程临床指导方案</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≥5种，包括但不限于：液体冲击试验、被动抬腿试验、肺复张试验、潮气量冲击试验、呼吸末闭塞试验；方案在操作过程中自动生成并在屏幕直接显示</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彩页或技术白皮书</w:t>
            </w: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8</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参数获取频率</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黑体" w:hAnsi="宋体" w:eastAsia="黑体" w:cs="黑体"/>
                <w:i w:val="0"/>
                <w:iCs w:val="0"/>
                <w:color w:val="auto"/>
                <w:sz w:val="22"/>
                <w:szCs w:val="22"/>
                <w:highlight w:val="none"/>
                <w:u w:val="none"/>
              </w:rPr>
            </w:pP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逐搏产生参数，每分钟≥60次</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黑体" w:hAnsi="宋体" w:eastAsia="黑体" w:cs="黑体"/>
                <w:i w:val="0"/>
                <w:iCs w:val="0"/>
                <w:color w:val="auto"/>
                <w:sz w:val="22"/>
                <w:szCs w:val="22"/>
                <w:highlight w:val="none"/>
                <w:u w:val="none"/>
              </w:rPr>
            </w:pP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9</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每搏量增加率（△SV）</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显示范围0-100%</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彩页或技术白皮书</w:t>
            </w: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10</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心输出量增加率(△CO)</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显示范围0-100%</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彩页或技术白皮书</w:t>
            </w: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11</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心率增加率（△HR）</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黑体" w:hAnsi="宋体" w:eastAsia="黑体" w:cs="黑体"/>
                <w:i w:val="0"/>
                <w:iCs w:val="0"/>
                <w:color w:val="auto"/>
                <w:sz w:val="22"/>
                <w:szCs w:val="22"/>
                <w:highlight w:val="none"/>
                <w:u w:val="none"/>
              </w:rPr>
            </w:pP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显示范围0-100%</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黑体" w:hAnsi="宋体" w:eastAsia="黑体" w:cs="黑体"/>
                <w:i w:val="0"/>
                <w:iCs w:val="0"/>
                <w:color w:val="auto"/>
                <w:sz w:val="22"/>
                <w:szCs w:val="22"/>
                <w:highlight w:val="none"/>
                <w:u w:val="none"/>
              </w:rPr>
            </w:pP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12</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外周阻力增加率（△SVR）</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黑体" w:hAnsi="宋体" w:eastAsia="黑体" w:cs="黑体"/>
                <w:i w:val="0"/>
                <w:iCs w:val="0"/>
                <w:color w:val="auto"/>
                <w:sz w:val="22"/>
                <w:szCs w:val="22"/>
                <w:highlight w:val="none"/>
                <w:u w:val="none"/>
              </w:rPr>
            </w:pP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显示范围0-100%</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黑体" w:hAnsi="宋体" w:eastAsia="黑体" w:cs="黑体"/>
                <w:i w:val="0"/>
                <w:iCs w:val="0"/>
                <w:color w:val="auto"/>
                <w:sz w:val="22"/>
                <w:szCs w:val="22"/>
                <w:highlight w:val="none"/>
                <w:u w:val="none"/>
              </w:rPr>
            </w:pP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13</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氧供指数（DO2）</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黑体" w:hAnsi="宋体" w:eastAsia="黑体" w:cs="黑体"/>
                <w:i w:val="0"/>
                <w:iCs w:val="0"/>
                <w:color w:val="auto"/>
                <w:sz w:val="22"/>
                <w:szCs w:val="22"/>
                <w:highlight w:val="none"/>
                <w:u w:val="none"/>
              </w:rPr>
            </w:pP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具备氧代谢参数，氧供量（DO2）、氧供量指数（DO2I）、氧耗量（VO2）、氧耗量指数（VO2I）</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黑体" w:hAnsi="宋体" w:eastAsia="黑体" w:cs="黑体"/>
                <w:i w:val="0"/>
                <w:iCs w:val="0"/>
                <w:color w:val="auto"/>
                <w:sz w:val="22"/>
                <w:szCs w:val="22"/>
                <w:highlight w:val="none"/>
                <w:u w:val="none"/>
              </w:rPr>
            </w:pP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14</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工作原理</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黑体" w:hAnsi="宋体" w:eastAsia="黑体" w:cs="黑体"/>
                <w:i w:val="0"/>
                <w:iCs w:val="0"/>
                <w:color w:val="auto"/>
                <w:sz w:val="22"/>
                <w:szCs w:val="22"/>
                <w:highlight w:val="none"/>
                <w:u w:val="none"/>
              </w:rPr>
            </w:pP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采用脉搏能量分析法进行计算，通过对连续动脉压进行计算，获得实时连续血流动力学参数</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黑体" w:hAnsi="宋体" w:eastAsia="黑体" w:cs="黑体"/>
                <w:i w:val="0"/>
                <w:iCs w:val="0"/>
                <w:color w:val="auto"/>
                <w:sz w:val="22"/>
                <w:szCs w:val="22"/>
                <w:highlight w:val="none"/>
                <w:u w:val="none"/>
              </w:rPr>
            </w:pP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15</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屏幕</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黑体" w:hAnsi="宋体" w:eastAsia="黑体" w:cs="黑体"/>
                <w:i w:val="0"/>
                <w:iCs w:val="0"/>
                <w:color w:val="auto"/>
                <w:sz w:val="22"/>
                <w:szCs w:val="22"/>
                <w:highlight w:val="none"/>
                <w:u w:val="none"/>
              </w:rPr>
            </w:pP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≥17寸，全触屏操作，支持分屏，支持HDMI，支持投影</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黑体" w:hAnsi="宋体" w:eastAsia="黑体" w:cs="黑体"/>
                <w:i w:val="0"/>
                <w:iCs w:val="0"/>
                <w:color w:val="auto"/>
                <w:sz w:val="22"/>
                <w:szCs w:val="22"/>
                <w:highlight w:val="none"/>
                <w:u w:val="none"/>
              </w:rPr>
            </w:pP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16</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内置电池标准续航</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黑体" w:hAnsi="宋体" w:eastAsia="黑体" w:cs="黑体"/>
                <w:i w:val="0"/>
                <w:iCs w:val="0"/>
                <w:color w:val="auto"/>
                <w:sz w:val="22"/>
                <w:szCs w:val="22"/>
                <w:highlight w:val="none"/>
                <w:u w:val="none"/>
              </w:rPr>
            </w:pP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≥6小时</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黑体" w:hAnsi="宋体" w:eastAsia="黑体" w:cs="黑体"/>
                <w:i w:val="0"/>
                <w:iCs w:val="0"/>
                <w:color w:val="auto"/>
                <w:sz w:val="22"/>
                <w:szCs w:val="22"/>
                <w:highlight w:val="none"/>
                <w:u w:val="none"/>
              </w:rPr>
            </w:pP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17</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报告打印</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黑体" w:hAnsi="宋体" w:eastAsia="黑体" w:cs="黑体"/>
                <w:i w:val="0"/>
                <w:iCs w:val="0"/>
                <w:color w:val="auto"/>
                <w:sz w:val="22"/>
                <w:szCs w:val="22"/>
                <w:highlight w:val="none"/>
                <w:u w:val="none"/>
              </w:rPr>
            </w:pP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可实现报告打印，报告内容包含动脉压波形</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黑体" w:hAnsi="宋体" w:eastAsia="黑体" w:cs="黑体"/>
                <w:i w:val="0"/>
                <w:iCs w:val="0"/>
                <w:color w:val="auto"/>
                <w:sz w:val="22"/>
                <w:szCs w:val="22"/>
                <w:highlight w:val="none"/>
                <w:u w:val="none"/>
              </w:rPr>
            </w:pP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18</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日/夜间工作模式</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黑体" w:hAnsi="宋体" w:eastAsia="黑体" w:cs="黑体"/>
                <w:i w:val="0"/>
                <w:iCs w:val="0"/>
                <w:color w:val="auto"/>
                <w:sz w:val="22"/>
                <w:szCs w:val="22"/>
                <w:highlight w:val="none"/>
                <w:u w:val="none"/>
              </w:rPr>
            </w:pP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具备</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黑体" w:hAnsi="宋体" w:eastAsia="黑体" w:cs="黑体"/>
                <w:i w:val="0"/>
                <w:iCs w:val="0"/>
                <w:color w:val="auto"/>
                <w:sz w:val="22"/>
                <w:szCs w:val="22"/>
                <w:highlight w:val="none"/>
                <w:u w:val="none"/>
              </w:rPr>
            </w:pP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19</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报警及安全指标</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黑体" w:hAnsi="宋体" w:eastAsia="黑体" w:cs="黑体"/>
                <w:i w:val="0"/>
                <w:iCs w:val="0"/>
                <w:color w:val="auto"/>
                <w:sz w:val="22"/>
                <w:szCs w:val="22"/>
                <w:highlight w:val="none"/>
                <w:u w:val="none"/>
              </w:rPr>
            </w:pP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具备可自拟、可关闭的临床参数报警系统，具备设备自检报警系统</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黑体" w:hAnsi="宋体" w:eastAsia="黑体" w:cs="黑体"/>
                <w:i w:val="0"/>
                <w:iCs w:val="0"/>
                <w:color w:val="auto"/>
                <w:sz w:val="22"/>
                <w:szCs w:val="22"/>
                <w:highlight w:val="none"/>
                <w:u w:val="none"/>
              </w:rPr>
            </w:pP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20</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事件应答</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黑体" w:hAnsi="宋体" w:eastAsia="黑体" w:cs="黑体"/>
                <w:i w:val="0"/>
                <w:iCs w:val="0"/>
                <w:color w:val="auto"/>
                <w:sz w:val="22"/>
                <w:szCs w:val="22"/>
                <w:highlight w:val="none"/>
                <w:u w:val="none"/>
              </w:rPr>
            </w:pP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在显示界面具有SV、MAP、HP、SVR、CO变化率窗口，在液体容量试验之后，直接显示结果</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黑体" w:hAnsi="宋体" w:eastAsia="黑体" w:cs="黑体"/>
                <w:i w:val="0"/>
                <w:iCs w:val="0"/>
                <w:color w:val="auto"/>
                <w:sz w:val="22"/>
                <w:szCs w:val="22"/>
                <w:highlight w:val="none"/>
                <w:u w:val="none"/>
              </w:rPr>
            </w:pP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21</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图形显示</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黑体" w:hAnsi="宋体" w:eastAsia="黑体" w:cs="黑体"/>
                <w:i w:val="0"/>
                <w:iCs w:val="0"/>
                <w:color w:val="auto"/>
                <w:sz w:val="22"/>
                <w:szCs w:val="22"/>
                <w:highlight w:val="none"/>
                <w:u w:val="none"/>
              </w:rPr>
            </w:pP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在显示界面上可同时显示≥4个趋势图及目标框图、条形图界面，可标注参数基线及自定义范围</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黑体" w:hAnsi="宋体" w:eastAsia="黑体" w:cs="黑体"/>
                <w:i w:val="0"/>
                <w:iCs w:val="0"/>
                <w:color w:val="auto"/>
                <w:sz w:val="22"/>
                <w:szCs w:val="22"/>
                <w:highlight w:val="none"/>
                <w:u w:val="none"/>
              </w:rPr>
            </w:pP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22</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数据下载</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黑体" w:hAnsi="宋体" w:eastAsia="黑体" w:cs="黑体"/>
                <w:i w:val="0"/>
                <w:iCs w:val="0"/>
                <w:color w:val="auto"/>
                <w:sz w:val="22"/>
                <w:szCs w:val="22"/>
                <w:highlight w:val="none"/>
                <w:u w:val="none"/>
              </w:rPr>
            </w:pP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读取软件实时还原监测数据、波形图及操作情况；可通过4个USB串口导出Excel数据文件</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黑体" w:hAnsi="宋体" w:eastAsia="黑体" w:cs="黑体"/>
                <w:i w:val="0"/>
                <w:iCs w:val="0"/>
                <w:color w:val="auto"/>
                <w:sz w:val="22"/>
                <w:szCs w:val="22"/>
                <w:highlight w:val="none"/>
                <w:u w:val="none"/>
              </w:rPr>
            </w:pP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23</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设备不良事件情况</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黑体" w:hAnsi="宋体" w:eastAsia="黑体" w:cs="黑体"/>
                <w:i w:val="0"/>
                <w:iCs w:val="0"/>
                <w:color w:val="auto"/>
                <w:sz w:val="22"/>
                <w:szCs w:val="22"/>
                <w:highlight w:val="none"/>
                <w:u w:val="none"/>
              </w:rPr>
            </w:pP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厂家自报设备近三年不良事件情况</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黑体" w:hAnsi="宋体" w:eastAsia="黑体" w:cs="黑体"/>
                <w:i w:val="0"/>
                <w:iCs w:val="0"/>
                <w:color w:val="auto"/>
                <w:sz w:val="22"/>
                <w:szCs w:val="22"/>
                <w:highlight w:val="none"/>
                <w:u w:val="none"/>
              </w:rPr>
            </w:pP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24</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配置要求</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具备主机1台；微创监测模块1个；压力套1套；三通线1根；无创监测模块1个；指套大中小号各1套；袖带大中小号各1套，台车1台</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企业承诺</w:t>
            </w: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25</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配套耗材</w:t>
            </w:r>
            <w:r>
              <w:rPr>
                <w:rFonts w:hint="eastAsia" w:ascii="黑体" w:hAnsi="宋体" w:eastAsia="黑体" w:cs="黑体"/>
                <w:i w:val="0"/>
                <w:iCs w:val="0"/>
                <w:color w:val="auto"/>
                <w:kern w:val="0"/>
                <w:sz w:val="22"/>
                <w:szCs w:val="22"/>
                <w:highlight w:val="none"/>
                <w:u w:val="none"/>
                <w:lang w:val="en-US" w:eastAsia="zh-CN" w:bidi="ar"/>
              </w:rPr>
              <w:br w:type="textWrapping"/>
            </w:r>
            <w:r>
              <w:rPr>
                <w:rFonts w:hint="eastAsia" w:ascii="黑体" w:hAnsi="宋体" w:eastAsia="黑体" w:cs="黑体"/>
                <w:i w:val="0"/>
                <w:iCs w:val="0"/>
                <w:color w:val="auto"/>
                <w:kern w:val="0"/>
                <w:sz w:val="22"/>
                <w:szCs w:val="22"/>
                <w:highlight w:val="none"/>
                <w:u w:val="none"/>
                <w:lang w:val="en-US" w:eastAsia="zh-CN" w:bidi="ar"/>
              </w:rPr>
              <w:t>（试剂）要求</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封闭耗材</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厂家承诺及</w:t>
            </w:r>
            <w:r>
              <w:rPr>
                <w:rFonts w:hint="eastAsia" w:ascii="黑体" w:hAnsi="宋体" w:eastAsia="黑体" w:cs="黑体"/>
                <w:i w:val="0"/>
                <w:iCs w:val="0"/>
                <w:color w:val="auto"/>
                <w:kern w:val="0"/>
                <w:sz w:val="22"/>
                <w:szCs w:val="22"/>
                <w:highlight w:val="none"/>
                <w:u w:val="none"/>
                <w:lang w:val="en-US" w:eastAsia="zh-CN" w:bidi="ar"/>
              </w:rPr>
              <w:br w:type="textWrapping"/>
            </w:r>
            <w:r>
              <w:rPr>
                <w:rFonts w:hint="eastAsia" w:ascii="黑体" w:hAnsi="宋体" w:eastAsia="黑体" w:cs="黑体"/>
                <w:i w:val="0"/>
                <w:iCs w:val="0"/>
                <w:color w:val="auto"/>
                <w:kern w:val="0"/>
                <w:sz w:val="22"/>
                <w:szCs w:val="22"/>
                <w:highlight w:val="none"/>
                <w:u w:val="none"/>
                <w:lang w:val="en-US" w:eastAsia="zh-CN" w:bidi="ar"/>
              </w:rPr>
              <w:t>注册证</w:t>
            </w:r>
          </w:p>
        </w:tc>
      </w:tr>
      <w:tr>
        <w:tblPrEx>
          <w:tblCellMar>
            <w:top w:w="0" w:type="dxa"/>
            <w:left w:w="108" w:type="dxa"/>
            <w:bottom w:w="0" w:type="dxa"/>
            <w:right w:w="108" w:type="dxa"/>
          </w:tblCellMar>
        </w:tblPrEx>
        <w:trPr>
          <w:trHeight w:val="10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26</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验收标准方法</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按照投标文件、采购合同、质量标准等，组织对医疗设备进行质量验收，出具验收报告。验收过程中对于核心参数存疑需检测的，可委托地方具有相应检测能力的机构提供技术支持。</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黑体" w:hAnsi="宋体" w:eastAsia="黑体" w:cs="黑体"/>
                <w:i w:val="0"/>
                <w:iCs w:val="0"/>
                <w:color w:val="auto"/>
                <w:sz w:val="22"/>
                <w:szCs w:val="22"/>
                <w:highlight w:val="none"/>
                <w:u w:val="none"/>
              </w:rPr>
            </w:pPr>
          </w:p>
        </w:tc>
      </w:tr>
      <w:tr>
        <w:tblPrEx>
          <w:tblCellMar>
            <w:top w:w="0" w:type="dxa"/>
            <w:left w:w="108" w:type="dxa"/>
            <w:bottom w:w="0" w:type="dxa"/>
            <w:right w:w="108" w:type="dxa"/>
          </w:tblCellMar>
        </w:tblPrEx>
        <w:trPr>
          <w:trHeight w:val="573" w:hRule="atLeast"/>
        </w:trPr>
        <w:tc>
          <w:tcPr>
            <w:tcW w:w="9060" w:type="dxa"/>
            <w:gridSpan w:val="6"/>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黑体" w:hAnsi="宋体" w:eastAsia="黑体" w:cs="黑体"/>
                <w:color w:val="auto"/>
                <w:kern w:val="0"/>
                <w:sz w:val="20"/>
                <w:szCs w:val="20"/>
                <w:highlight w:val="none"/>
                <w:lang w:eastAsia="zh-CN"/>
              </w:rPr>
            </w:pPr>
            <w:r>
              <w:rPr>
                <w:rFonts w:hint="eastAsia" w:ascii="黑体" w:hAnsi="宋体" w:eastAsia="黑体" w:cs="黑体"/>
                <w:color w:val="auto"/>
                <w:kern w:val="0"/>
                <w:sz w:val="20"/>
                <w:szCs w:val="20"/>
                <w:highlight w:val="none"/>
              </w:rPr>
              <w:t>经济要求</w:t>
            </w:r>
            <w:r>
              <w:rPr>
                <w:rFonts w:hint="eastAsia" w:ascii="黑体" w:hAnsi="宋体" w:eastAsia="黑体" w:cs="黑体"/>
                <w:color w:val="auto"/>
                <w:kern w:val="0"/>
                <w:sz w:val="20"/>
                <w:szCs w:val="20"/>
                <w:highlight w:val="none"/>
                <w:lang w:eastAsia="zh-CN"/>
              </w:rPr>
              <w:t>（商务要求）</w:t>
            </w:r>
          </w:p>
        </w:tc>
      </w:tr>
      <w:tr>
        <w:tblPrEx>
          <w:tblCellMar>
            <w:top w:w="0" w:type="dxa"/>
            <w:left w:w="108" w:type="dxa"/>
            <w:bottom w:w="0" w:type="dxa"/>
            <w:right w:w="108" w:type="dxa"/>
          </w:tblCellMar>
        </w:tblPrEx>
        <w:trPr>
          <w:trHeight w:val="54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交货时间、交货地点</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合同签订后3个月内交付，交付地点由甲方指定</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企业承诺</w:t>
            </w:r>
          </w:p>
        </w:tc>
      </w:tr>
      <w:tr>
        <w:tblPrEx>
          <w:tblCellMar>
            <w:top w:w="0" w:type="dxa"/>
            <w:left w:w="108" w:type="dxa"/>
            <w:bottom w:w="0" w:type="dxa"/>
            <w:right w:w="108" w:type="dxa"/>
          </w:tblCellMar>
        </w:tblPrEx>
        <w:trPr>
          <w:trHeight w:val="63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付款及结算方式</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签订合同付（预付）0%，物资到货（服务完成）验收后付95%。</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企业承诺</w:t>
            </w:r>
          </w:p>
        </w:tc>
      </w:tr>
      <w:tr>
        <w:tblPrEx>
          <w:tblCellMar>
            <w:top w:w="0" w:type="dxa"/>
            <w:left w:w="108" w:type="dxa"/>
            <w:bottom w:w="0" w:type="dxa"/>
            <w:right w:w="108" w:type="dxa"/>
          </w:tblCellMar>
        </w:tblPrEx>
        <w:trPr>
          <w:trHeight w:val="505"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3</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履约保证金/质量保证金</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质量保证金，验收合格后满1年无质量问题支付剩余5%（不超过5%）</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企业承诺</w:t>
            </w:r>
          </w:p>
        </w:tc>
      </w:tr>
      <w:tr>
        <w:tblPrEx>
          <w:tblCellMar>
            <w:top w:w="0" w:type="dxa"/>
            <w:left w:w="108" w:type="dxa"/>
            <w:bottom w:w="0" w:type="dxa"/>
            <w:right w:w="108" w:type="dxa"/>
          </w:tblCellMar>
        </w:tblPrEx>
        <w:trPr>
          <w:trHeight w:val="605"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4</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产品包装和运输要求</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按照国家、行业相关标准规范，产品确保包装完好，运输确保不对产品造成损伤。</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企业承诺</w:t>
            </w:r>
          </w:p>
        </w:tc>
      </w:tr>
      <w:tr>
        <w:tblPrEx>
          <w:tblCellMar>
            <w:top w:w="0" w:type="dxa"/>
            <w:left w:w="108" w:type="dxa"/>
            <w:bottom w:w="0" w:type="dxa"/>
            <w:right w:w="108" w:type="dxa"/>
          </w:tblCellMar>
        </w:tblPrEx>
        <w:trPr>
          <w:trHeight w:val="56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5</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售后服务1</w:t>
            </w:r>
            <w:r>
              <w:rPr>
                <w:rFonts w:hint="eastAsia" w:ascii="黑体" w:hAnsi="宋体" w:eastAsia="黑体" w:cs="黑体"/>
                <w:i w:val="0"/>
                <w:iCs w:val="0"/>
                <w:color w:val="auto"/>
                <w:kern w:val="0"/>
                <w:sz w:val="22"/>
                <w:szCs w:val="22"/>
                <w:highlight w:val="none"/>
                <w:u w:val="none"/>
                <w:lang w:val="en-US" w:eastAsia="zh-CN" w:bidi="ar"/>
              </w:rPr>
              <w:br w:type="textWrapping"/>
            </w:r>
            <w:r>
              <w:rPr>
                <w:rFonts w:hint="eastAsia" w:ascii="黑体" w:hAnsi="宋体" w:eastAsia="黑体" w:cs="黑体"/>
                <w:i w:val="0"/>
                <w:iCs w:val="0"/>
                <w:color w:val="auto"/>
                <w:kern w:val="0"/>
                <w:sz w:val="22"/>
                <w:szCs w:val="22"/>
                <w:highlight w:val="none"/>
                <w:u w:val="none"/>
                <w:lang w:val="en-US" w:eastAsia="zh-CN" w:bidi="ar"/>
              </w:rPr>
              <w:t>（质保</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保修年限不低于3年，全年故障停机时间不高于5%（按365日/年计算)。</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是</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原厂授权或企业承诺</w:t>
            </w:r>
          </w:p>
        </w:tc>
      </w:tr>
      <w:tr>
        <w:tblPrEx>
          <w:tblCellMar>
            <w:top w:w="0" w:type="dxa"/>
            <w:left w:w="108" w:type="dxa"/>
            <w:bottom w:w="0" w:type="dxa"/>
            <w:right w:w="108" w:type="dxa"/>
          </w:tblCellMar>
        </w:tblPrEx>
        <w:trPr>
          <w:trHeight w:val="79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6</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售后服务2</w:t>
            </w:r>
            <w:r>
              <w:rPr>
                <w:rFonts w:hint="eastAsia" w:ascii="黑体" w:hAnsi="宋体" w:eastAsia="黑体" w:cs="黑体"/>
                <w:i w:val="0"/>
                <w:iCs w:val="0"/>
                <w:color w:val="auto"/>
                <w:kern w:val="0"/>
                <w:sz w:val="22"/>
                <w:szCs w:val="22"/>
                <w:highlight w:val="none"/>
                <w:u w:val="none"/>
                <w:lang w:val="en-US" w:eastAsia="zh-CN" w:bidi="ar"/>
              </w:rPr>
              <w:br w:type="textWrapping"/>
            </w:r>
            <w:r>
              <w:rPr>
                <w:rFonts w:hint="eastAsia" w:ascii="黑体" w:hAnsi="宋体" w:eastAsia="黑体" w:cs="黑体"/>
                <w:i w:val="0"/>
                <w:iCs w:val="0"/>
                <w:color w:val="auto"/>
                <w:kern w:val="0"/>
                <w:sz w:val="22"/>
                <w:szCs w:val="22"/>
                <w:highlight w:val="none"/>
                <w:u w:val="none"/>
                <w:lang w:val="en-US" w:eastAsia="zh-CN" w:bidi="ar"/>
              </w:rPr>
              <w:t>（质保）</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保修期内免费提供定期维护保养服务，免费升级和维护软件，免费提供使用培训。</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企业承诺</w:t>
            </w:r>
          </w:p>
        </w:tc>
      </w:tr>
      <w:tr>
        <w:tblPrEx>
          <w:tblCellMar>
            <w:top w:w="0" w:type="dxa"/>
            <w:left w:w="108" w:type="dxa"/>
            <w:bottom w:w="0" w:type="dxa"/>
            <w:right w:w="108" w:type="dxa"/>
          </w:tblCellMar>
        </w:tblPrEx>
        <w:trPr>
          <w:trHeight w:val="414"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7</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售后服务3</w:t>
            </w:r>
            <w:r>
              <w:rPr>
                <w:rFonts w:hint="eastAsia" w:ascii="黑体" w:hAnsi="宋体" w:eastAsia="黑体" w:cs="黑体"/>
                <w:i w:val="0"/>
                <w:iCs w:val="0"/>
                <w:color w:val="auto"/>
                <w:kern w:val="0"/>
                <w:sz w:val="22"/>
                <w:szCs w:val="22"/>
                <w:highlight w:val="none"/>
                <w:u w:val="none"/>
                <w:lang w:val="en-US" w:eastAsia="zh-CN" w:bidi="ar"/>
              </w:rPr>
              <w:br w:type="textWrapping"/>
            </w:r>
            <w:r>
              <w:rPr>
                <w:rFonts w:hint="eastAsia" w:ascii="黑体" w:hAnsi="宋体" w:eastAsia="黑体" w:cs="黑体"/>
                <w:i w:val="0"/>
                <w:iCs w:val="0"/>
                <w:color w:val="auto"/>
                <w:kern w:val="0"/>
                <w:sz w:val="22"/>
                <w:szCs w:val="22"/>
                <w:highlight w:val="none"/>
                <w:u w:val="none"/>
                <w:lang w:val="en-US" w:eastAsia="zh-CN" w:bidi="ar"/>
              </w:rPr>
              <w:t>（质保）</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提供不少于1人次、1天的工程师维修培训。</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企业承诺</w:t>
            </w:r>
          </w:p>
        </w:tc>
      </w:tr>
      <w:tr>
        <w:tblPrEx>
          <w:tblCellMar>
            <w:top w:w="0" w:type="dxa"/>
            <w:left w:w="108" w:type="dxa"/>
            <w:bottom w:w="0" w:type="dxa"/>
            <w:right w:w="108" w:type="dxa"/>
          </w:tblCellMar>
        </w:tblPrEx>
        <w:trPr>
          <w:trHeight w:val="414"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8</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售后服务4</w:t>
            </w:r>
            <w:r>
              <w:rPr>
                <w:rFonts w:hint="eastAsia" w:ascii="黑体" w:hAnsi="宋体" w:eastAsia="黑体" w:cs="黑体"/>
                <w:i w:val="0"/>
                <w:iCs w:val="0"/>
                <w:color w:val="auto"/>
                <w:kern w:val="0"/>
                <w:sz w:val="22"/>
                <w:szCs w:val="22"/>
                <w:highlight w:val="none"/>
                <w:u w:val="none"/>
                <w:lang w:val="en-US" w:eastAsia="zh-CN" w:bidi="ar"/>
              </w:rPr>
              <w:br w:type="textWrapping"/>
            </w:r>
            <w:r>
              <w:rPr>
                <w:rFonts w:hint="eastAsia" w:ascii="黑体" w:hAnsi="宋体" w:eastAsia="黑体" w:cs="黑体"/>
                <w:i w:val="0"/>
                <w:iCs w:val="0"/>
                <w:color w:val="auto"/>
                <w:kern w:val="0"/>
                <w:sz w:val="22"/>
                <w:szCs w:val="22"/>
                <w:highlight w:val="none"/>
                <w:u w:val="none"/>
                <w:lang w:val="en-US" w:eastAsia="zh-CN" w:bidi="ar"/>
              </w:rPr>
              <w:t>（响应时间）</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维修响应时间≤4小时，维修到达现场时间≤8小时。</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企业承诺</w:t>
            </w:r>
          </w:p>
        </w:tc>
      </w:tr>
      <w:tr>
        <w:tblPrEx>
          <w:tblCellMar>
            <w:top w:w="0" w:type="dxa"/>
            <w:left w:w="108" w:type="dxa"/>
            <w:bottom w:w="0" w:type="dxa"/>
            <w:right w:w="108" w:type="dxa"/>
          </w:tblCellMar>
        </w:tblPrEx>
        <w:trPr>
          <w:trHeight w:val="414"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9</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备品备件要求（零配件）</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由供应商承诺项目使用寿命周期内保证零配件供应。</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default"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企业承诺≥</w:t>
            </w:r>
            <w:r>
              <w:rPr>
                <w:rFonts w:hint="default" w:ascii="黑体" w:hAnsi="宋体" w:eastAsia="黑体" w:cs="黑体"/>
                <w:i w:val="0"/>
                <w:iCs w:val="0"/>
                <w:color w:val="auto"/>
                <w:kern w:val="0"/>
                <w:sz w:val="22"/>
                <w:szCs w:val="22"/>
                <w:highlight w:val="none"/>
                <w:u w:val="none"/>
                <w:lang w:val="en-US" w:eastAsia="zh-CN" w:bidi="ar"/>
              </w:rPr>
              <w:t>10</w:t>
            </w:r>
            <w:r>
              <w:rPr>
                <w:rFonts w:hint="eastAsia" w:ascii="黑体" w:hAnsi="宋体" w:eastAsia="黑体" w:cs="黑体"/>
                <w:i w:val="0"/>
                <w:iCs w:val="0"/>
                <w:color w:val="auto"/>
                <w:kern w:val="0"/>
                <w:sz w:val="22"/>
                <w:szCs w:val="22"/>
                <w:highlight w:val="none"/>
                <w:u w:val="none"/>
                <w:lang w:val="en-US" w:eastAsia="zh-CN" w:bidi="ar"/>
              </w:rPr>
              <w:t>年</w:t>
            </w:r>
          </w:p>
        </w:tc>
      </w:tr>
      <w:tr>
        <w:tblPrEx>
          <w:tblCellMar>
            <w:top w:w="0" w:type="dxa"/>
            <w:left w:w="108" w:type="dxa"/>
            <w:bottom w:w="0" w:type="dxa"/>
            <w:right w:w="108" w:type="dxa"/>
          </w:tblCellMar>
        </w:tblPrEx>
        <w:trPr>
          <w:trHeight w:val="414"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10</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专用工具</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厂家自报</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企业承诺</w:t>
            </w:r>
          </w:p>
        </w:tc>
      </w:tr>
      <w:tr>
        <w:tblPrEx>
          <w:tblCellMar>
            <w:top w:w="0" w:type="dxa"/>
            <w:left w:w="108" w:type="dxa"/>
            <w:bottom w:w="0" w:type="dxa"/>
            <w:right w:w="108" w:type="dxa"/>
          </w:tblCellMar>
        </w:tblPrEx>
        <w:trPr>
          <w:trHeight w:val="414"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11</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物资编目编码、打码贴签要求</w:t>
            </w:r>
          </w:p>
        </w:tc>
        <w:tc>
          <w:tcPr>
            <w:tcW w:w="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本项目对物资的编目编码、打码贴签要求，报价供应商应当予以明确响应，相关费用包含在报价中。</w:t>
            </w:r>
          </w:p>
        </w:tc>
        <w:tc>
          <w:tcPr>
            <w:tcW w:w="5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2"/>
                <w:szCs w:val="22"/>
                <w:highlight w:val="none"/>
                <w:u w:val="none"/>
                <w:lang w:val="en-US" w:eastAsia="zh-CN" w:bidi="ar-SA"/>
              </w:rPr>
            </w:pPr>
            <w:r>
              <w:rPr>
                <w:rFonts w:hint="eastAsia" w:ascii="黑体" w:hAnsi="宋体" w:eastAsia="黑体" w:cs="黑体"/>
                <w:i w:val="0"/>
                <w:iCs w:val="0"/>
                <w:color w:val="auto"/>
                <w:kern w:val="0"/>
                <w:sz w:val="22"/>
                <w:szCs w:val="22"/>
                <w:highlight w:val="none"/>
                <w:u w:val="none"/>
                <w:lang w:val="en-US" w:eastAsia="zh-CN" w:bidi="ar"/>
              </w:rPr>
              <w:t>企业承诺</w:t>
            </w:r>
          </w:p>
        </w:tc>
      </w:tr>
      <w:tr>
        <w:tblPrEx>
          <w:tblCellMar>
            <w:top w:w="0" w:type="dxa"/>
            <w:left w:w="108" w:type="dxa"/>
            <w:bottom w:w="0" w:type="dxa"/>
            <w:right w:w="108" w:type="dxa"/>
          </w:tblCellMar>
        </w:tblPrEx>
        <w:trPr>
          <w:trHeight w:val="605" w:hRule="atLeast"/>
        </w:trPr>
        <w:tc>
          <w:tcPr>
            <w:tcW w:w="9060" w:type="dxa"/>
            <w:gridSpan w:val="6"/>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黑体" w:hAnsi="宋体" w:eastAsia="黑体" w:cs="黑体"/>
                <w:color w:val="auto"/>
                <w:kern w:val="0"/>
                <w:sz w:val="20"/>
                <w:szCs w:val="20"/>
                <w:highlight w:val="none"/>
                <w:lang w:val="en-US" w:eastAsia="zh-CN"/>
              </w:rPr>
            </w:pPr>
            <w:r>
              <w:rPr>
                <w:rFonts w:hint="eastAsia" w:ascii="黑体" w:hAnsi="宋体" w:eastAsia="黑体" w:cs="黑体"/>
                <w:color w:val="auto"/>
                <w:kern w:val="0"/>
                <w:sz w:val="20"/>
                <w:szCs w:val="20"/>
                <w:highlight w:val="none"/>
                <w:lang w:val="en-US" w:eastAsia="zh-CN"/>
              </w:rPr>
              <w:t>▲标识的指标负偏离≥2项，投标企业此项分值为0分</w:t>
            </w:r>
          </w:p>
          <w:p>
            <w:pPr>
              <w:widowControl/>
              <w:jc w:val="left"/>
              <w:textAlignment w:val="center"/>
              <w:rPr>
                <w:rFonts w:ascii="黑体" w:hAnsi="宋体" w:eastAsia="黑体" w:cs="黑体"/>
                <w:color w:val="auto"/>
                <w:kern w:val="0"/>
                <w:sz w:val="20"/>
                <w:szCs w:val="20"/>
                <w:highlight w:val="none"/>
              </w:rPr>
            </w:pPr>
            <w:r>
              <w:rPr>
                <w:rFonts w:hint="eastAsia" w:ascii="黑体" w:hAnsi="宋体" w:eastAsia="黑体" w:cs="黑体"/>
                <w:color w:val="auto"/>
                <w:kern w:val="0"/>
                <w:sz w:val="20"/>
                <w:szCs w:val="20"/>
                <w:highlight w:val="none"/>
              </w:rPr>
              <w:t>▲标识的指标和“无标识”指标负偏离≥</w:t>
            </w:r>
            <w:r>
              <w:rPr>
                <w:rFonts w:hint="eastAsia" w:ascii="黑体" w:hAnsi="宋体" w:eastAsia="黑体" w:cs="黑体"/>
                <w:color w:val="auto"/>
                <w:kern w:val="0"/>
                <w:sz w:val="20"/>
                <w:szCs w:val="20"/>
                <w:highlight w:val="none"/>
                <w:lang w:val="en-US"/>
              </w:rPr>
              <w:t>10</w:t>
            </w:r>
            <w:r>
              <w:rPr>
                <w:rFonts w:hint="eastAsia" w:ascii="黑体" w:hAnsi="宋体" w:eastAsia="黑体" w:cs="黑体"/>
                <w:color w:val="auto"/>
                <w:kern w:val="0"/>
                <w:sz w:val="20"/>
                <w:szCs w:val="20"/>
                <w:highlight w:val="none"/>
              </w:rPr>
              <w:t>项，投标企业此项分值为0分</w:t>
            </w:r>
          </w:p>
        </w:tc>
      </w:tr>
    </w:tbl>
    <w:p>
      <w:pPr>
        <w:rPr>
          <w:rFonts w:hint="eastAsia"/>
          <w:color w:val="auto"/>
          <w:highlight w:val="none"/>
        </w:rPr>
      </w:pPr>
      <w:r>
        <w:rPr>
          <w:rFonts w:hint="eastAsia"/>
          <w:color w:val="auto"/>
          <w:highlight w:val="none"/>
        </w:rPr>
        <w:br w:type="page"/>
      </w:r>
    </w:p>
    <w:bookmarkEnd w:id="14"/>
    <w:bookmarkEnd w:id="15"/>
    <w:bookmarkEnd w:id="16"/>
    <w:bookmarkEnd w:id="17"/>
    <w:bookmarkEnd w:id="18"/>
    <w:bookmarkEnd w:id="19"/>
    <w:bookmarkEnd w:id="20"/>
    <w:bookmarkEnd w:id="21"/>
    <w:bookmarkEnd w:id="22"/>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jc w:val="both"/>
        <w:textAlignment w:val="auto"/>
        <w:outlineLvl w:val="9"/>
        <w:rPr>
          <w:rFonts w:hint="eastAsia" w:asciiTheme="minorEastAsia" w:hAnsiTheme="minorEastAsia" w:eastAsiaTheme="minorEastAsia" w:cstheme="minorEastAsia"/>
          <w:bCs/>
          <w:color w:val="auto"/>
          <w:sz w:val="22"/>
          <w:szCs w:val="22"/>
          <w:highlight w:val="none"/>
        </w:rPr>
      </w:pPr>
    </w:p>
    <w:p>
      <w:pPr>
        <w:widowControl/>
        <w:spacing w:line="360" w:lineRule="auto"/>
        <w:jc w:val="center"/>
        <w:textAlignment w:val="center"/>
        <w:rPr>
          <w:rFonts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医疗设备配套封闭试剂用量测算表</w:t>
      </w:r>
    </w:p>
    <w:tbl>
      <w:tblPr>
        <w:tblStyle w:val="42"/>
        <w:tblW w:w="4994" w:type="pct"/>
        <w:tblInd w:w="0" w:type="dxa"/>
        <w:tblLayout w:type="autofit"/>
        <w:tblCellMar>
          <w:top w:w="0" w:type="dxa"/>
          <w:left w:w="108" w:type="dxa"/>
          <w:bottom w:w="0" w:type="dxa"/>
          <w:right w:w="108" w:type="dxa"/>
        </w:tblCellMar>
      </w:tblPr>
      <w:tblGrid>
        <w:gridCol w:w="722"/>
        <w:gridCol w:w="2693"/>
        <w:gridCol w:w="1252"/>
        <w:gridCol w:w="1451"/>
        <w:gridCol w:w="953"/>
        <w:gridCol w:w="1418"/>
        <w:gridCol w:w="1353"/>
      </w:tblGrid>
      <w:tr>
        <w:tblPrEx>
          <w:tblCellMar>
            <w:top w:w="0" w:type="dxa"/>
            <w:left w:w="108" w:type="dxa"/>
            <w:bottom w:w="0" w:type="dxa"/>
            <w:right w:w="108" w:type="dxa"/>
          </w:tblCellMar>
        </w:tblPrEx>
        <w:trPr>
          <w:trHeight w:val="78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auto"/>
                <w:sz w:val="20"/>
                <w:szCs w:val="20"/>
                <w:highlight w:val="none"/>
              </w:rPr>
            </w:pPr>
            <w:r>
              <w:rPr>
                <w:rFonts w:hint="eastAsia" w:ascii="黑体" w:hAnsi="宋体" w:eastAsia="黑体" w:cs="黑体"/>
                <w:color w:val="auto"/>
                <w:kern w:val="0"/>
                <w:sz w:val="20"/>
                <w:szCs w:val="20"/>
                <w:highlight w:val="none"/>
              </w:rPr>
              <w:t>项目名称</w:t>
            </w:r>
          </w:p>
        </w:tc>
        <w:tc>
          <w:tcPr>
            <w:tcW w:w="4632"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黑体" w:hAnsi="宋体" w:eastAsia="黑体" w:cs="黑体"/>
                <w:color w:val="auto"/>
                <w:sz w:val="20"/>
                <w:szCs w:val="20"/>
                <w:highlight w:val="none"/>
              </w:rPr>
            </w:pPr>
            <w:r>
              <w:rPr>
                <w:rFonts w:hint="eastAsia" w:ascii="黑体" w:hAnsi="宋体" w:eastAsia="黑体" w:cs="黑体"/>
                <w:color w:val="auto"/>
                <w:kern w:val="0"/>
                <w:sz w:val="20"/>
                <w:szCs w:val="20"/>
                <w:highlight w:val="none"/>
              </w:rPr>
              <w:t>心排量监护仪</w:t>
            </w:r>
          </w:p>
        </w:tc>
      </w:tr>
      <w:tr>
        <w:tblPrEx>
          <w:tblCellMar>
            <w:top w:w="0" w:type="dxa"/>
            <w:left w:w="108" w:type="dxa"/>
            <w:bottom w:w="0" w:type="dxa"/>
            <w:right w:w="108" w:type="dxa"/>
          </w:tblCellMar>
        </w:tblPrEx>
        <w:trPr>
          <w:trHeight w:val="78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auto"/>
                <w:sz w:val="20"/>
                <w:szCs w:val="20"/>
                <w:highlight w:val="none"/>
              </w:rPr>
            </w:pPr>
            <w:r>
              <w:rPr>
                <w:rFonts w:hint="eastAsia" w:ascii="黑体" w:hAnsi="宋体" w:eastAsia="黑体" w:cs="黑体"/>
                <w:color w:val="auto"/>
                <w:kern w:val="0"/>
                <w:sz w:val="20"/>
                <w:szCs w:val="20"/>
                <w:highlight w:val="none"/>
              </w:rPr>
              <w:t>封闭耗材（试剂）</w:t>
            </w:r>
            <w:r>
              <w:rPr>
                <w:rFonts w:hint="eastAsia" w:ascii="黑体" w:hAnsi="宋体" w:eastAsia="黑体" w:cs="黑体"/>
                <w:color w:val="auto"/>
                <w:kern w:val="0"/>
                <w:sz w:val="20"/>
                <w:szCs w:val="20"/>
                <w:highlight w:val="none"/>
              </w:rPr>
              <w:br w:type="textWrapping"/>
            </w:r>
            <w:r>
              <w:rPr>
                <w:rFonts w:hint="eastAsia" w:ascii="黑体" w:hAnsi="宋体" w:eastAsia="黑体" w:cs="黑体"/>
                <w:color w:val="auto"/>
                <w:kern w:val="0"/>
                <w:sz w:val="20"/>
                <w:szCs w:val="20"/>
                <w:highlight w:val="none"/>
              </w:rPr>
              <w:t>描述</w:t>
            </w:r>
          </w:p>
        </w:tc>
        <w:tc>
          <w:tcPr>
            <w:tcW w:w="4632"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auto"/>
                <w:sz w:val="20"/>
                <w:szCs w:val="20"/>
                <w:highlight w:val="none"/>
              </w:rPr>
            </w:pPr>
            <w:r>
              <w:rPr>
                <w:rFonts w:hint="eastAsia" w:ascii="黑体" w:hAnsi="宋体" w:eastAsia="黑体" w:cs="黑体"/>
                <w:color w:val="auto"/>
                <w:kern w:val="0"/>
                <w:sz w:val="20"/>
                <w:szCs w:val="20"/>
                <w:highlight w:val="none"/>
              </w:rPr>
              <w:t>耗材</w:t>
            </w:r>
            <w:r>
              <w:rPr>
                <w:rFonts w:hint="eastAsia" w:ascii="黑体" w:hAnsi="宋体" w:eastAsia="黑体" w:cs="黑体"/>
                <w:color w:val="auto"/>
                <w:kern w:val="0"/>
                <w:sz w:val="20"/>
                <w:szCs w:val="20"/>
                <w:highlight w:val="none"/>
                <w:lang w:eastAsia="zh-CN"/>
              </w:rPr>
              <w:t>（试剂）为设备生产企业指定的唯一代工品牌</w:t>
            </w:r>
          </w:p>
        </w:tc>
      </w:tr>
      <w:tr>
        <w:tblPrEx>
          <w:tblCellMar>
            <w:top w:w="0" w:type="dxa"/>
            <w:left w:w="108" w:type="dxa"/>
            <w:bottom w:w="0" w:type="dxa"/>
            <w:right w:w="108" w:type="dxa"/>
          </w:tblCellMar>
        </w:tblPrEx>
        <w:trPr>
          <w:trHeight w:val="859"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auto"/>
                <w:sz w:val="20"/>
                <w:szCs w:val="20"/>
                <w:highlight w:val="none"/>
              </w:rPr>
            </w:pPr>
            <w:r>
              <w:rPr>
                <w:rFonts w:hint="eastAsia" w:ascii="黑体" w:hAnsi="宋体" w:eastAsia="黑体" w:cs="黑体"/>
                <w:color w:val="auto"/>
                <w:kern w:val="0"/>
                <w:sz w:val="20"/>
                <w:szCs w:val="20"/>
                <w:highlight w:val="none"/>
              </w:rPr>
              <w:t>序号</w:t>
            </w:r>
          </w:p>
        </w:tc>
        <w:tc>
          <w:tcPr>
            <w:tcW w:w="1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auto"/>
                <w:sz w:val="20"/>
                <w:szCs w:val="20"/>
                <w:highlight w:val="none"/>
              </w:rPr>
            </w:pPr>
            <w:r>
              <w:rPr>
                <w:rFonts w:hint="eastAsia" w:ascii="黑体" w:hAnsi="宋体" w:eastAsia="黑体" w:cs="黑体"/>
                <w:color w:val="auto"/>
                <w:kern w:val="0"/>
                <w:sz w:val="20"/>
                <w:szCs w:val="20"/>
                <w:highlight w:val="none"/>
              </w:rPr>
              <w:t>配套耗材（开展项目）名称</w:t>
            </w:r>
          </w:p>
        </w:tc>
        <w:tc>
          <w:tcPr>
            <w:tcW w:w="6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auto"/>
                <w:sz w:val="20"/>
                <w:szCs w:val="20"/>
                <w:highlight w:val="none"/>
              </w:rPr>
            </w:pPr>
            <w:r>
              <w:rPr>
                <w:rFonts w:hint="eastAsia" w:ascii="黑体" w:hAnsi="宋体" w:eastAsia="黑体" w:cs="黑体"/>
                <w:color w:val="auto"/>
                <w:kern w:val="0"/>
                <w:sz w:val="20"/>
                <w:szCs w:val="20"/>
                <w:highlight w:val="none"/>
              </w:rPr>
              <w:t>※规格</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auto"/>
                <w:sz w:val="20"/>
                <w:szCs w:val="20"/>
                <w:highlight w:val="none"/>
              </w:rPr>
            </w:pPr>
            <w:r>
              <w:rPr>
                <w:rFonts w:hint="eastAsia" w:ascii="黑体" w:hAnsi="宋体" w:eastAsia="黑体" w:cs="黑体"/>
                <w:color w:val="auto"/>
                <w:kern w:val="0"/>
                <w:sz w:val="20"/>
                <w:szCs w:val="20"/>
                <w:highlight w:val="none"/>
              </w:rPr>
              <w:t>预估2年用量</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auto"/>
                <w:sz w:val="20"/>
                <w:szCs w:val="20"/>
                <w:highlight w:val="none"/>
              </w:rPr>
            </w:pPr>
            <w:r>
              <w:rPr>
                <w:rFonts w:hint="eastAsia" w:ascii="黑体" w:hAnsi="宋体" w:eastAsia="黑体" w:cs="黑体"/>
                <w:color w:val="auto"/>
                <w:kern w:val="0"/>
                <w:sz w:val="20"/>
                <w:szCs w:val="20"/>
                <w:highlight w:val="none"/>
              </w:rPr>
              <w:t>计量单位</w:t>
            </w:r>
          </w:p>
        </w:tc>
        <w:tc>
          <w:tcPr>
            <w:tcW w:w="7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auto"/>
                <w:sz w:val="20"/>
                <w:szCs w:val="20"/>
                <w:highlight w:val="none"/>
              </w:rPr>
            </w:pPr>
            <w:r>
              <w:rPr>
                <w:rFonts w:hint="eastAsia" w:ascii="黑体" w:hAnsi="宋体" w:eastAsia="黑体" w:cs="黑体"/>
                <w:color w:val="auto"/>
                <w:kern w:val="0"/>
                <w:sz w:val="20"/>
                <w:szCs w:val="20"/>
                <w:highlight w:val="none"/>
              </w:rPr>
              <w:t>最高限价（万元）</w:t>
            </w:r>
          </w:p>
        </w:tc>
        <w:tc>
          <w:tcPr>
            <w:tcW w:w="68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auto"/>
                <w:sz w:val="20"/>
                <w:szCs w:val="20"/>
                <w:highlight w:val="none"/>
              </w:rPr>
            </w:pPr>
            <w:r>
              <w:rPr>
                <w:rFonts w:hint="eastAsia" w:ascii="黑体" w:hAnsi="宋体" w:eastAsia="黑体" w:cs="黑体"/>
                <w:color w:val="auto"/>
                <w:kern w:val="0"/>
                <w:sz w:val="20"/>
                <w:szCs w:val="20"/>
                <w:highlight w:val="none"/>
              </w:rPr>
              <w:t>备注</w:t>
            </w:r>
          </w:p>
        </w:tc>
      </w:tr>
      <w:tr>
        <w:tblPrEx>
          <w:tblCellMar>
            <w:top w:w="0" w:type="dxa"/>
            <w:left w:w="108" w:type="dxa"/>
            <w:bottom w:w="0" w:type="dxa"/>
            <w:right w:w="108" w:type="dxa"/>
          </w:tblCellMar>
        </w:tblPrEx>
        <w:trPr>
          <w:trHeight w:val="66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auto"/>
                <w:sz w:val="20"/>
                <w:szCs w:val="20"/>
                <w:highlight w:val="none"/>
              </w:rPr>
            </w:pPr>
            <w:r>
              <w:rPr>
                <w:rFonts w:hint="eastAsia" w:ascii="黑体" w:hAnsi="宋体" w:eastAsia="黑体" w:cs="黑体"/>
                <w:color w:val="auto"/>
                <w:kern w:val="0"/>
                <w:sz w:val="20"/>
                <w:szCs w:val="20"/>
                <w:highlight w:val="none"/>
              </w:rPr>
              <w:t>1</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一次性使用有创血压传感器</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highlight w:val="none"/>
              </w:rPr>
            </w:pP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宋体" w:hAnsi="宋体" w:eastAsia="宋体" w:cs="宋体"/>
                <w:color w:val="auto"/>
                <w:sz w:val="20"/>
                <w:szCs w:val="20"/>
                <w:highlight w:val="none"/>
                <w:lang w:val="en-US"/>
              </w:rPr>
            </w:pPr>
            <w:r>
              <w:rPr>
                <w:rFonts w:hint="default" w:ascii="宋体" w:hAnsi="宋体" w:eastAsia="宋体" w:cs="宋体"/>
                <w:color w:val="auto"/>
                <w:sz w:val="20"/>
                <w:szCs w:val="20"/>
                <w:highlight w:val="none"/>
                <w:lang w:val="en-US"/>
              </w:rPr>
              <w:t>200</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lang w:eastAsia="zh-CN"/>
              </w:rPr>
              <w:t>套</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宋体" w:hAnsi="宋体" w:eastAsia="宋体" w:cs="宋体"/>
                <w:color w:val="auto"/>
                <w:sz w:val="20"/>
                <w:szCs w:val="20"/>
                <w:highlight w:val="none"/>
                <w:lang w:val="en-US"/>
              </w:rPr>
            </w:pPr>
            <w:r>
              <w:rPr>
                <w:rFonts w:hint="default" w:ascii="宋体" w:hAnsi="宋体" w:eastAsia="宋体" w:cs="宋体"/>
                <w:color w:val="auto"/>
                <w:sz w:val="20"/>
                <w:szCs w:val="20"/>
                <w:highlight w:val="none"/>
                <w:lang w:val="en-US"/>
              </w:rPr>
              <w:t>7.8</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center"/>
              <w:rPr>
                <w:rFonts w:ascii="宋体" w:hAnsi="宋体" w:eastAsia="宋体" w:cs="宋体"/>
                <w:color w:val="auto"/>
                <w:sz w:val="20"/>
                <w:szCs w:val="20"/>
                <w:highlight w:val="none"/>
              </w:rPr>
            </w:pPr>
          </w:p>
        </w:tc>
      </w:tr>
    </w:tbl>
    <w:p>
      <w:pPr>
        <w:pStyle w:val="17"/>
        <w:keepNext w:val="0"/>
        <w:keepLines w:val="0"/>
        <w:pageBreakBefore w:val="0"/>
        <w:widowControl w:val="0"/>
        <w:kinsoku/>
        <w:wordWrap/>
        <w:overflowPunct/>
        <w:topLinePunct w:val="0"/>
        <w:autoSpaceDE/>
        <w:autoSpaceDN/>
        <w:bidi w:val="0"/>
        <w:adjustRightInd/>
        <w:snapToGrid/>
        <w:spacing w:after="0" w:line="360" w:lineRule="exact"/>
        <w:ind w:left="0" w:leftChars="0" w:right="0" w:rightChars="0"/>
        <w:jc w:val="both"/>
        <w:textAlignment w:val="auto"/>
        <w:outlineLvl w:val="9"/>
        <w:rPr>
          <w:rFonts w:hint="eastAsia" w:asciiTheme="minorEastAsia" w:hAnsiTheme="minorEastAsia" w:eastAsiaTheme="minorEastAsia" w:cstheme="minorEastAsia"/>
          <w:bCs/>
          <w:color w:val="auto"/>
          <w:sz w:val="22"/>
          <w:szCs w:val="22"/>
          <w:highlight w:val="none"/>
        </w:rPr>
      </w:pPr>
      <w:r>
        <w:rPr>
          <w:rFonts w:hint="eastAsia" w:asciiTheme="minorEastAsia" w:hAnsiTheme="minorEastAsia" w:eastAsiaTheme="minorEastAsia" w:cstheme="minorEastAsia"/>
          <w:bCs/>
          <w:color w:val="auto"/>
          <w:sz w:val="22"/>
          <w:szCs w:val="22"/>
          <w:highlight w:val="none"/>
        </w:rPr>
        <w:t>说明：</w:t>
      </w:r>
    </w:p>
    <w:p>
      <w:pPr>
        <w:pStyle w:val="17"/>
        <w:keepNext w:val="0"/>
        <w:keepLines w:val="0"/>
        <w:pageBreakBefore w:val="0"/>
        <w:widowControl w:val="0"/>
        <w:kinsoku/>
        <w:wordWrap/>
        <w:overflowPunct/>
        <w:topLinePunct w:val="0"/>
        <w:autoSpaceDE/>
        <w:autoSpaceDN/>
        <w:bidi w:val="0"/>
        <w:adjustRightInd/>
        <w:snapToGrid/>
        <w:spacing w:after="0" w:line="360" w:lineRule="exact"/>
        <w:ind w:left="0" w:leftChars="0" w:right="0" w:rightChars="0" w:firstLine="440" w:firstLineChars="200"/>
        <w:jc w:val="both"/>
        <w:textAlignment w:val="auto"/>
        <w:outlineLvl w:val="9"/>
        <w:rPr>
          <w:rFonts w:hint="eastAsia" w:asciiTheme="minorEastAsia" w:hAnsiTheme="minorEastAsia" w:eastAsiaTheme="minorEastAsia" w:cstheme="minorEastAsia"/>
          <w:bCs/>
          <w:color w:val="auto"/>
          <w:sz w:val="22"/>
          <w:szCs w:val="22"/>
          <w:highlight w:val="none"/>
          <w:lang w:eastAsia="zh-CN"/>
        </w:rPr>
      </w:pPr>
      <w:r>
        <w:rPr>
          <w:rFonts w:hint="eastAsia" w:asciiTheme="minorEastAsia" w:hAnsiTheme="minorEastAsia" w:eastAsiaTheme="minorEastAsia" w:cstheme="minorEastAsia"/>
          <w:bCs/>
          <w:color w:val="auto"/>
          <w:sz w:val="22"/>
          <w:szCs w:val="22"/>
          <w:highlight w:val="none"/>
          <w:lang w:val="en-US" w:eastAsia="zh-CN"/>
        </w:rPr>
        <w:t>1</w:t>
      </w:r>
      <w:r>
        <w:rPr>
          <w:rFonts w:hint="eastAsia" w:asciiTheme="minorEastAsia" w:hAnsiTheme="minorEastAsia" w:eastAsiaTheme="minorEastAsia" w:cstheme="minorEastAsia"/>
          <w:bCs/>
          <w:color w:val="auto"/>
          <w:sz w:val="22"/>
          <w:szCs w:val="22"/>
          <w:highlight w:val="none"/>
        </w:rPr>
        <w:t>.</w:t>
      </w:r>
      <w:r>
        <w:rPr>
          <w:rFonts w:hint="eastAsia" w:asciiTheme="minorEastAsia" w:hAnsiTheme="minorEastAsia" w:eastAsiaTheme="minorEastAsia" w:cstheme="minorEastAsia"/>
          <w:bCs/>
          <w:color w:val="auto"/>
          <w:sz w:val="22"/>
          <w:szCs w:val="22"/>
          <w:highlight w:val="none"/>
          <w:lang w:eastAsia="zh-CN"/>
        </w:rPr>
        <w:t>报价供应商</w:t>
      </w:r>
      <w:r>
        <w:rPr>
          <w:rFonts w:hint="eastAsia" w:asciiTheme="minorEastAsia" w:hAnsiTheme="minorEastAsia" w:eastAsiaTheme="minorEastAsia" w:cstheme="minorEastAsia"/>
          <w:bCs/>
          <w:color w:val="auto"/>
          <w:sz w:val="22"/>
          <w:szCs w:val="22"/>
          <w:highlight w:val="none"/>
        </w:rPr>
        <w:t>需对《</w:t>
      </w:r>
      <w:r>
        <w:rPr>
          <w:rFonts w:hint="eastAsia" w:asciiTheme="minorEastAsia" w:hAnsiTheme="minorEastAsia" w:eastAsiaTheme="minorEastAsia" w:cstheme="minorEastAsia"/>
          <w:bCs/>
          <w:color w:val="auto"/>
          <w:sz w:val="22"/>
          <w:szCs w:val="22"/>
          <w:highlight w:val="none"/>
          <w:lang w:val="en-US" w:eastAsia="zh-CN"/>
        </w:rPr>
        <w:t>封闭耗材（试剂）用量测算表</w:t>
      </w:r>
      <w:r>
        <w:rPr>
          <w:rFonts w:hint="eastAsia" w:asciiTheme="minorEastAsia" w:hAnsiTheme="minorEastAsia" w:eastAsiaTheme="minorEastAsia" w:cstheme="minorEastAsia"/>
          <w:bCs/>
          <w:color w:val="auto"/>
          <w:sz w:val="22"/>
          <w:szCs w:val="22"/>
          <w:highlight w:val="none"/>
        </w:rPr>
        <w:t>》中</w:t>
      </w:r>
      <w:r>
        <w:rPr>
          <w:rFonts w:hint="eastAsia" w:asciiTheme="minorEastAsia" w:hAnsiTheme="minorEastAsia" w:eastAsiaTheme="minorEastAsia" w:cstheme="minorEastAsia"/>
          <w:b/>
          <w:bCs w:val="0"/>
          <w:color w:val="auto"/>
          <w:sz w:val="22"/>
          <w:szCs w:val="22"/>
          <w:highlight w:val="none"/>
          <w:u w:val="single"/>
        </w:rPr>
        <w:t>全部</w:t>
      </w:r>
      <w:r>
        <w:rPr>
          <w:rFonts w:hint="eastAsia" w:asciiTheme="minorEastAsia" w:hAnsiTheme="minorEastAsia" w:eastAsiaTheme="minorEastAsia" w:cstheme="minorEastAsia"/>
          <w:bCs/>
          <w:color w:val="auto"/>
          <w:sz w:val="22"/>
          <w:szCs w:val="22"/>
          <w:highlight w:val="none"/>
          <w:lang w:eastAsia="zh-CN"/>
        </w:rPr>
        <w:t>耗材（开展项目）</w:t>
      </w:r>
      <w:r>
        <w:rPr>
          <w:rFonts w:hint="eastAsia" w:asciiTheme="minorEastAsia" w:hAnsiTheme="minorEastAsia" w:eastAsiaTheme="minorEastAsia" w:cstheme="minorEastAsia"/>
          <w:b/>
          <w:bCs w:val="0"/>
          <w:color w:val="auto"/>
          <w:sz w:val="22"/>
          <w:szCs w:val="22"/>
          <w:highlight w:val="none"/>
          <w:u w:val="single"/>
          <w:lang w:eastAsia="zh-CN"/>
        </w:rPr>
        <w:t>逐一</w:t>
      </w:r>
      <w:r>
        <w:rPr>
          <w:rFonts w:hint="eastAsia" w:asciiTheme="minorEastAsia" w:hAnsiTheme="minorEastAsia" w:eastAsiaTheme="minorEastAsia" w:cstheme="minorEastAsia"/>
          <w:b/>
          <w:bCs w:val="0"/>
          <w:color w:val="auto"/>
          <w:sz w:val="22"/>
          <w:szCs w:val="22"/>
          <w:highlight w:val="none"/>
          <w:u w:val="single"/>
        </w:rPr>
        <w:t>报价</w:t>
      </w:r>
      <w:r>
        <w:rPr>
          <w:rFonts w:hint="eastAsia" w:asciiTheme="minorEastAsia" w:hAnsiTheme="minorEastAsia" w:eastAsiaTheme="minorEastAsia" w:cstheme="minorEastAsia"/>
          <w:bCs/>
          <w:color w:val="auto"/>
          <w:sz w:val="22"/>
          <w:szCs w:val="22"/>
          <w:highlight w:val="none"/>
          <w:lang w:eastAsia="zh-CN"/>
        </w:rPr>
        <w:t>，需将各开展</w:t>
      </w:r>
      <w:r>
        <w:rPr>
          <w:rFonts w:hint="eastAsia" w:asciiTheme="minorEastAsia" w:hAnsiTheme="minorEastAsia" w:eastAsiaTheme="minorEastAsia" w:cstheme="minorEastAsia"/>
          <w:bCs/>
          <w:color w:val="auto"/>
          <w:sz w:val="22"/>
          <w:szCs w:val="22"/>
          <w:highlight w:val="none"/>
        </w:rPr>
        <w:t>项目所需全部</w:t>
      </w:r>
      <w:r>
        <w:rPr>
          <w:rFonts w:hint="eastAsia" w:asciiTheme="minorEastAsia" w:hAnsiTheme="minorEastAsia" w:eastAsiaTheme="minorEastAsia" w:cstheme="minorEastAsia"/>
          <w:bCs/>
          <w:color w:val="auto"/>
          <w:sz w:val="22"/>
          <w:szCs w:val="22"/>
          <w:highlight w:val="none"/>
          <w:lang w:eastAsia="zh-CN"/>
        </w:rPr>
        <w:t>封闭</w:t>
      </w:r>
      <w:r>
        <w:rPr>
          <w:rFonts w:hint="eastAsia" w:asciiTheme="minorEastAsia" w:hAnsiTheme="minorEastAsia" w:eastAsiaTheme="minorEastAsia" w:cstheme="minorEastAsia"/>
          <w:bCs/>
          <w:color w:val="auto"/>
          <w:sz w:val="22"/>
          <w:szCs w:val="22"/>
          <w:highlight w:val="none"/>
        </w:rPr>
        <w:t>耗材（试剂）</w:t>
      </w:r>
      <w:r>
        <w:rPr>
          <w:rFonts w:hint="eastAsia" w:asciiTheme="minorEastAsia" w:hAnsiTheme="minorEastAsia" w:eastAsiaTheme="minorEastAsia" w:cstheme="minorEastAsia"/>
          <w:bCs/>
          <w:color w:val="auto"/>
          <w:sz w:val="22"/>
          <w:szCs w:val="22"/>
          <w:highlight w:val="none"/>
          <w:lang w:eastAsia="zh-CN"/>
        </w:rPr>
        <w:t>或各封闭耗材（试剂）的不同型号全部</w:t>
      </w:r>
      <w:r>
        <w:rPr>
          <w:rFonts w:hint="eastAsia" w:asciiTheme="minorEastAsia" w:hAnsiTheme="minorEastAsia" w:eastAsiaTheme="minorEastAsia" w:cstheme="minorEastAsia"/>
          <w:bCs/>
          <w:color w:val="auto"/>
          <w:sz w:val="22"/>
          <w:szCs w:val="22"/>
          <w:highlight w:val="none"/>
        </w:rPr>
        <w:t>列明</w:t>
      </w:r>
      <w:r>
        <w:rPr>
          <w:rFonts w:hint="eastAsia" w:asciiTheme="minorEastAsia" w:hAnsiTheme="minorEastAsia" w:eastAsiaTheme="minorEastAsia" w:cstheme="minorEastAsia"/>
          <w:bCs/>
          <w:color w:val="auto"/>
          <w:sz w:val="22"/>
          <w:szCs w:val="22"/>
          <w:highlight w:val="none"/>
          <w:lang w:eastAsia="zh-CN"/>
        </w:rPr>
        <w:t>并</w:t>
      </w:r>
      <w:r>
        <w:rPr>
          <w:rFonts w:hint="eastAsia" w:asciiTheme="minorEastAsia" w:hAnsiTheme="minorEastAsia" w:eastAsiaTheme="minorEastAsia" w:cstheme="minorEastAsia"/>
          <w:bCs/>
          <w:color w:val="auto"/>
          <w:sz w:val="22"/>
          <w:szCs w:val="22"/>
          <w:highlight w:val="none"/>
        </w:rPr>
        <w:t>报价，未列明的视为引进入院时免费提供</w:t>
      </w:r>
      <w:r>
        <w:rPr>
          <w:rFonts w:hint="eastAsia" w:asciiTheme="minorEastAsia" w:hAnsiTheme="minorEastAsia" w:eastAsiaTheme="minorEastAsia" w:cstheme="minorEastAsia"/>
          <w:bCs/>
          <w:color w:val="auto"/>
          <w:sz w:val="22"/>
          <w:szCs w:val="22"/>
          <w:highlight w:val="none"/>
          <w:lang w:eastAsia="zh-CN"/>
        </w:rPr>
        <w:t>；</w:t>
      </w:r>
    </w:p>
    <w:p>
      <w:pPr>
        <w:pStyle w:val="17"/>
        <w:keepNext w:val="0"/>
        <w:keepLines w:val="0"/>
        <w:pageBreakBefore w:val="0"/>
        <w:widowControl w:val="0"/>
        <w:kinsoku/>
        <w:wordWrap/>
        <w:overflowPunct/>
        <w:topLinePunct w:val="0"/>
        <w:autoSpaceDE/>
        <w:autoSpaceDN/>
        <w:bidi w:val="0"/>
        <w:adjustRightInd/>
        <w:snapToGrid/>
        <w:spacing w:after="0" w:line="360" w:lineRule="exact"/>
        <w:ind w:left="0" w:leftChars="0" w:right="0" w:rightChars="0" w:firstLine="440" w:firstLineChars="200"/>
        <w:jc w:val="both"/>
        <w:textAlignment w:val="auto"/>
        <w:outlineLvl w:val="9"/>
        <w:rPr>
          <w:rFonts w:hint="eastAsia" w:asciiTheme="minorEastAsia" w:hAnsiTheme="minorEastAsia" w:eastAsiaTheme="minorEastAsia" w:cstheme="minorEastAsia"/>
          <w:bCs/>
          <w:color w:val="auto"/>
          <w:sz w:val="22"/>
          <w:szCs w:val="22"/>
          <w:highlight w:val="none"/>
          <w:lang w:val="en-US" w:eastAsia="zh-CN"/>
        </w:rPr>
      </w:pPr>
      <w:r>
        <w:rPr>
          <w:rFonts w:hint="eastAsia" w:asciiTheme="minorEastAsia" w:hAnsiTheme="minorEastAsia" w:eastAsiaTheme="minorEastAsia" w:cstheme="minorEastAsia"/>
          <w:bCs/>
          <w:color w:val="auto"/>
          <w:sz w:val="22"/>
          <w:szCs w:val="22"/>
          <w:highlight w:val="none"/>
          <w:lang w:val="en-US" w:eastAsia="zh-CN"/>
        </w:rPr>
        <w:t>2.封闭耗材（试剂）需满足《封闭耗材（试剂）用量测算表》中“</w:t>
      </w:r>
      <w:r>
        <w:rPr>
          <w:rFonts w:hint="eastAsia" w:asciiTheme="minorEastAsia" w:hAnsiTheme="minorEastAsia" w:eastAsiaTheme="minorEastAsia" w:cstheme="minorEastAsia"/>
          <w:b/>
          <w:bCs w:val="0"/>
          <w:color w:val="auto"/>
          <w:sz w:val="22"/>
          <w:szCs w:val="22"/>
          <w:highlight w:val="none"/>
          <w:u w:val="single"/>
          <w:lang w:val="en-US" w:eastAsia="zh-CN"/>
        </w:rPr>
        <w:t>封闭耗材（试剂）描述</w:t>
      </w:r>
      <w:r>
        <w:rPr>
          <w:rFonts w:hint="eastAsia" w:asciiTheme="minorEastAsia" w:hAnsiTheme="minorEastAsia" w:eastAsiaTheme="minorEastAsia" w:cstheme="minorEastAsia"/>
          <w:bCs/>
          <w:color w:val="auto"/>
          <w:sz w:val="22"/>
          <w:szCs w:val="22"/>
          <w:highlight w:val="none"/>
          <w:lang w:val="en-US" w:eastAsia="zh-CN"/>
        </w:rPr>
        <w:t>”要求，</w:t>
      </w:r>
      <w:r>
        <w:rPr>
          <w:rFonts w:hint="eastAsia" w:asciiTheme="minorEastAsia" w:hAnsiTheme="minorEastAsia" w:eastAsiaTheme="minorEastAsia" w:cstheme="minorEastAsia"/>
          <w:b/>
          <w:bCs w:val="0"/>
          <w:color w:val="auto"/>
          <w:sz w:val="22"/>
          <w:szCs w:val="22"/>
          <w:highlight w:val="none"/>
          <w:u w:val="single"/>
          <w:lang w:val="en-US" w:eastAsia="zh-CN"/>
        </w:rPr>
        <w:t>并提供相关证明材料</w:t>
      </w:r>
      <w:r>
        <w:rPr>
          <w:rFonts w:hint="eastAsia" w:asciiTheme="minorEastAsia" w:hAnsiTheme="minorEastAsia" w:eastAsiaTheme="minorEastAsia" w:cstheme="minorEastAsia"/>
          <w:bCs/>
          <w:color w:val="auto"/>
          <w:sz w:val="22"/>
          <w:szCs w:val="22"/>
          <w:highlight w:val="none"/>
          <w:lang w:val="en-US" w:eastAsia="zh-CN"/>
        </w:rPr>
        <w:t>，不能提供或不符合要求的</w:t>
      </w:r>
      <w:r>
        <w:rPr>
          <w:rFonts w:hint="eastAsia" w:asciiTheme="minorEastAsia" w:hAnsiTheme="minorEastAsia" w:eastAsiaTheme="minorEastAsia" w:cstheme="minorEastAsia"/>
          <w:bCs/>
          <w:color w:val="auto"/>
          <w:sz w:val="22"/>
          <w:szCs w:val="22"/>
          <w:highlight w:val="none"/>
          <w:lang w:eastAsia="zh-CN"/>
        </w:rPr>
        <w:t>视为无效报价；</w:t>
      </w:r>
      <w:r>
        <w:rPr>
          <w:rFonts w:hint="eastAsia" w:asciiTheme="minorEastAsia" w:hAnsiTheme="minorEastAsia" w:eastAsiaTheme="minorEastAsia" w:cstheme="minorEastAsia"/>
          <w:bCs/>
          <w:color w:val="auto"/>
          <w:sz w:val="22"/>
          <w:szCs w:val="22"/>
          <w:highlight w:val="none"/>
          <w:lang w:val="en-US" w:eastAsia="zh-CN"/>
        </w:rPr>
        <w:t>非封闭耗材（试剂）（含证明材料不予认定的情况）所报价格不予计算，该项耗材（试剂）按缺项处理，如影响设备使用或导致项目无法开展的，视为无效报价；</w:t>
      </w:r>
    </w:p>
    <w:p>
      <w:pPr>
        <w:pStyle w:val="17"/>
        <w:keepNext w:val="0"/>
        <w:keepLines w:val="0"/>
        <w:pageBreakBefore w:val="0"/>
        <w:widowControl w:val="0"/>
        <w:kinsoku/>
        <w:wordWrap/>
        <w:overflowPunct/>
        <w:topLinePunct w:val="0"/>
        <w:autoSpaceDE/>
        <w:autoSpaceDN/>
        <w:bidi w:val="0"/>
        <w:adjustRightInd/>
        <w:snapToGrid/>
        <w:spacing w:after="0" w:line="360" w:lineRule="exact"/>
        <w:ind w:left="0" w:leftChars="0" w:right="0" w:rightChars="0" w:firstLine="440" w:firstLineChars="200"/>
        <w:jc w:val="both"/>
        <w:textAlignment w:val="auto"/>
        <w:outlineLvl w:val="9"/>
        <w:rPr>
          <w:rFonts w:hint="eastAsia" w:asciiTheme="minorEastAsia" w:hAnsiTheme="minorEastAsia" w:eastAsiaTheme="minorEastAsia" w:cstheme="minorEastAsia"/>
          <w:bCs/>
          <w:color w:val="auto"/>
          <w:sz w:val="22"/>
          <w:szCs w:val="22"/>
          <w:highlight w:val="none"/>
        </w:rPr>
      </w:pPr>
      <w:r>
        <w:rPr>
          <w:rFonts w:hint="eastAsia" w:asciiTheme="minorEastAsia" w:hAnsiTheme="minorEastAsia" w:eastAsiaTheme="minorEastAsia" w:cstheme="minorEastAsia"/>
          <w:bCs/>
          <w:color w:val="auto"/>
          <w:sz w:val="22"/>
          <w:szCs w:val="22"/>
          <w:highlight w:val="none"/>
          <w:lang w:val="en-US" w:eastAsia="zh-CN"/>
        </w:rPr>
        <w:t>3</w:t>
      </w:r>
      <w:r>
        <w:rPr>
          <w:rFonts w:hint="eastAsia" w:asciiTheme="minorEastAsia" w:hAnsiTheme="minorEastAsia" w:eastAsiaTheme="minorEastAsia" w:cstheme="minorEastAsia"/>
          <w:bCs/>
          <w:color w:val="auto"/>
          <w:sz w:val="22"/>
          <w:szCs w:val="22"/>
          <w:highlight w:val="none"/>
        </w:rPr>
        <w:t>.所投耗材按医疗器械管理的，须提供医疗器械注册证或备案凭证</w:t>
      </w:r>
      <w:r>
        <w:rPr>
          <w:rFonts w:hint="eastAsia" w:asciiTheme="minorEastAsia" w:hAnsiTheme="minorEastAsia" w:eastAsiaTheme="minorEastAsia" w:cstheme="minorEastAsia"/>
          <w:bCs/>
          <w:color w:val="auto"/>
          <w:sz w:val="22"/>
          <w:szCs w:val="22"/>
          <w:highlight w:val="none"/>
          <w:lang w:eastAsia="zh-CN"/>
        </w:rPr>
        <w:t>，不按医疗器械管理的，需提供相关证明材料，不得使用已经停产产品，不符合以上要求的视为无效报价</w:t>
      </w:r>
      <w:r>
        <w:rPr>
          <w:rFonts w:hint="eastAsia" w:asciiTheme="minorEastAsia" w:hAnsiTheme="minorEastAsia" w:eastAsiaTheme="minorEastAsia" w:cstheme="minorEastAsia"/>
          <w:bCs/>
          <w:color w:val="auto"/>
          <w:sz w:val="22"/>
          <w:szCs w:val="22"/>
          <w:highlight w:val="none"/>
        </w:rPr>
        <w:t>；</w:t>
      </w:r>
    </w:p>
    <w:p>
      <w:pPr>
        <w:pStyle w:val="17"/>
        <w:keepNext w:val="0"/>
        <w:keepLines w:val="0"/>
        <w:pageBreakBefore w:val="0"/>
        <w:widowControl w:val="0"/>
        <w:kinsoku/>
        <w:wordWrap/>
        <w:overflowPunct/>
        <w:topLinePunct w:val="0"/>
        <w:autoSpaceDE/>
        <w:autoSpaceDN/>
        <w:bidi w:val="0"/>
        <w:adjustRightInd/>
        <w:snapToGrid/>
        <w:spacing w:after="0" w:line="360" w:lineRule="exact"/>
        <w:ind w:left="0" w:leftChars="0" w:right="0" w:rightChars="0" w:firstLine="440" w:firstLineChars="200"/>
        <w:jc w:val="both"/>
        <w:textAlignment w:val="auto"/>
        <w:outlineLvl w:val="9"/>
        <w:rPr>
          <w:rFonts w:hint="eastAsia" w:asciiTheme="minorEastAsia" w:hAnsiTheme="minorEastAsia" w:eastAsiaTheme="minorEastAsia" w:cstheme="minorEastAsia"/>
          <w:bCs/>
          <w:color w:val="auto"/>
          <w:sz w:val="22"/>
          <w:szCs w:val="22"/>
          <w:highlight w:val="none"/>
        </w:rPr>
      </w:pPr>
      <w:r>
        <w:rPr>
          <w:rFonts w:hint="eastAsia" w:asciiTheme="minorEastAsia" w:hAnsiTheme="minorEastAsia" w:eastAsiaTheme="minorEastAsia" w:cstheme="minorEastAsia"/>
          <w:bCs/>
          <w:color w:val="auto"/>
          <w:sz w:val="22"/>
          <w:szCs w:val="22"/>
          <w:highlight w:val="none"/>
          <w:lang w:val="en-US" w:eastAsia="zh-CN"/>
        </w:rPr>
        <w:t>4</w:t>
      </w:r>
      <w:r>
        <w:rPr>
          <w:rFonts w:hint="eastAsia" w:asciiTheme="minorEastAsia" w:hAnsiTheme="minorEastAsia" w:eastAsiaTheme="minorEastAsia" w:cstheme="minorEastAsia"/>
          <w:bCs/>
          <w:color w:val="auto"/>
          <w:sz w:val="22"/>
          <w:szCs w:val="22"/>
          <w:highlight w:val="none"/>
        </w:rPr>
        <w:t>.各项</w:t>
      </w:r>
      <w:r>
        <w:rPr>
          <w:rFonts w:hint="eastAsia" w:asciiTheme="minorEastAsia" w:hAnsiTheme="minorEastAsia" w:eastAsiaTheme="minorEastAsia" w:cstheme="minorEastAsia"/>
          <w:bCs/>
          <w:color w:val="auto"/>
          <w:sz w:val="22"/>
          <w:szCs w:val="22"/>
          <w:highlight w:val="none"/>
          <w:lang w:eastAsia="zh-CN"/>
        </w:rPr>
        <w:t>耗材报价</w:t>
      </w:r>
      <w:r>
        <w:rPr>
          <w:rFonts w:hint="eastAsia" w:asciiTheme="minorEastAsia" w:hAnsiTheme="minorEastAsia" w:eastAsiaTheme="minorEastAsia" w:cstheme="minorEastAsia"/>
          <w:bCs/>
          <w:color w:val="auto"/>
          <w:sz w:val="22"/>
          <w:szCs w:val="22"/>
          <w:highlight w:val="none"/>
        </w:rPr>
        <w:t>总价不得超出</w:t>
      </w:r>
      <w:r>
        <w:rPr>
          <w:rFonts w:hint="eastAsia" w:asciiTheme="minorEastAsia" w:hAnsiTheme="minorEastAsia" w:eastAsiaTheme="minorEastAsia" w:cstheme="minorEastAsia"/>
          <w:bCs/>
          <w:color w:val="auto"/>
          <w:sz w:val="22"/>
          <w:szCs w:val="22"/>
          <w:highlight w:val="none"/>
          <w:lang w:eastAsia="zh-CN"/>
        </w:rPr>
        <w:t>对应的</w:t>
      </w:r>
      <w:r>
        <w:rPr>
          <w:rFonts w:hint="eastAsia" w:asciiTheme="minorEastAsia" w:hAnsiTheme="minorEastAsia" w:eastAsiaTheme="minorEastAsia" w:cstheme="minorEastAsia"/>
          <w:bCs/>
          <w:color w:val="auto"/>
          <w:sz w:val="22"/>
          <w:szCs w:val="22"/>
          <w:highlight w:val="none"/>
        </w:rPr>
        <w:t>最高限价，超出则视为耗材报价无效，价格评审中耗材部分得0分</w:t>
      </w:r>
      <w:r>
        <w:rPr>
          <w:rFonts w:hint="eastAsia" w:asciiTheme="minorEastAsia" w:hAnsiTheme="minorEastAsia" w:eastAsiaTheme="minorEastAsia" w:cstheme="minorEastAsia"/>
          <w:bCs/>
          <w:color w:val="auto"/>
          <w:sz w:val="22"/>
          <w:szCs w:val="22"/>
          <w:highlight w:val="none"/>
          <w:lang w:val="en-US" w:eastAsia="zh-CN"/>
        </w:rPr>
        <w:t>。</w:t>
      </w:r>
    </w:p>
    <w:p>
      <w:pPr>
        <w:pStyle w:val="17"/>
        <w:keepNext w:val="0"/>
        <w:keepLines w:val="0"/>
        <w:pageBreakBefore w:val="0"/>
        <w:widowControl w:val="0"/>
        <w:kinsoku/>
        <w:wordWrap/>
        <w:overflowPunct/>
        <w:topLinePunct w:val="0"/>
        <w:autoSpaceDE/>
        <w:autoSpaceDN/>
        <w:bidi w:val="0"/>
        <w:adjustRightInd/>
        <w:snapToGrid/>
        <w:spacing w:after="0" w:line="360" w:lineRule="exact"/>
        <w:ind w:left="0" w:leftChars="0" w:right="0" w:rightChars="0" w:firstLine="440" w:firstLineChars="200"/>
        <w:jc w:val="both"/>
        <w:textAlignment w:val="auto"/>
        <w:outlineLvl w:val="9"/>
        <w:rPr>
          <w:rFonts w:hint="eastAsia" w:asciiTheme="minorEastAsia" w:hAnsiTheme="minorEastAsia" w:eastAsiaTheme="minorEastAsia" w:cstheme="minorEastAsia"/>
          <w:bCs/>
          <w:color w:val="auto"/>
          <w:sz w:val="22"/>
          <w:szCs w:val="22"/>
          <w:highlight w:val="none"/>
        </w:rPr>
      </w:pPr>
      <w:r>
        <w:rPr>
          <w:rFonts w:hint="eastAsia" w:asciiTheme="minorEastAsia" w:hAnsiTheme="minorEastAsia" w:eastAsiaTheme="minorEastAsia" w:cstheme="minorEastAsia"/>
          <w:bCs/>
          <w:color w:val="auto"/>
          <w:sz w:val="22"/>
          <w:szCs w:val="22"/>
          <w:highlight w:val="none"/>
          <w:lang w:val="en-US" w:eastAsia="zh-CN"/>
        </w:rPr>
        <w:t>5</w:t>
      </w:r>
      <w:r>
        <w:rPr>
          <w:rFonts w:hint="eastAsia" w:asciiTheme="minorEastAsia" w:hAnsiTheme="minorEastAsia" w:eastAsiaTheme="minorEastAsia" w:cstheme="minorEastAsia"/>
          <w:bCs/>
          <w:color w:val="auto"/>
          <w:sz w:val="22"/>
          <w:szCs w:val="22"/>
          <w:highlight w:val="none"/>
        </w:rPr>
        <w:t>.所投耗材</w:t>
      </w:r>
      <w:r>
        <w:rPr>
          <w:rFonts w:hint="eastAsia" w:asciiTheme="minorEastAsia" w:hAnsiTheme="minorEastAsia" w:eastAsiaTheme="minorEastAsia" w:cstheme="minorEastAsia"/>
          <w:bCs/>
          <w:color w:val="auto"/>
          <w:sz w:val="22"/>
          <w:szCs w:val="22"/>
          <w:highlight w:val="none"/>
          <w:lang w:eastAsia="zh-CN"/>
        </w:rPr>
        <w:t>（试剂）</w:t>
      </w:r>
      <w:r>
        <w:rPr>
          <w:rFonts w:hint="eastAsia" w:asciiTheme="minorEastAsia" w:hAnsiTheme="minorEastAsia" w:eastAsiaTheme="minorEastAsia" w:cstheme="minorEastAsia"/>
          <w:bCs/>
          <w:color w:val="auto"/>
          <w:sz w:val="22"/>
          <w:szCs w:val="22"/>
          <w:highlight w:val="none"/>
          <w:lang w:val="en-US" w:eastAsia="zh-CN"/>
        </w:rPr>
        <w:t>为医院目录内产品的，也</w:t>
      </w:r>
      <w:r>
        <w:rPr>
          <w:rFonts w:hint="eastAsia" w:asciiTheme="minorEastAsia" w:hAnsiTheme="minorEastAsia" w:eastAsiaTheme="minorEastAsia" w:cstheme="minorEastAsia"/>
          <w:b/>
          <w:bCs w:val="0"/>
          <w:color w:val="auto"/>
          <w:sz w:val="22"/>
          <w:szCs w:val="22"/>
          <w:highlight w:val="none"/>
          <w:u w:val="single"/>
          <w:lang w:val="en-US" w:eastAsia="zh-CN"/>
        </w:rPr>
        <w:t>须一同报价</w:t>
      </w:r>
      <w:r>
        <w:rPr>
          <w:rFonts w:hint="eastAsia" w:asciiTheme="minorEastAsia" w:hAnsiTheme="minorEastAsia" w:eastAsiaTheme="minorEastAsia" w:cstheme="minorEastAsia"/>
          <w:bCs/>
          <w:color w:val="auto"/>
          <w:sz w:val="22"/>
          <w:szCs w:val="22"/>
          <w:highlight w:val="none"/>
          <w:lang w:val="en-US" w:eastAsia="zh-CN"/>
        </w:rPr>
        <w:t>；中标后需对目录内价格按照“就低原则”同步调价，调价范围包含解放军总医院各医学中心及医疗区；</w:t>
      </w:r>
    </w:p>
    <w:p>
      <w:pPr>
        <w:pStyle w:val="17"/>
        <w:keepNext w:val="0"/>
        <w:keepLines w:val="0"/>
        <w:pageBreakBefore w:val="0"/>
        <w:widowControl w:val="0"/>
        <w:kinsoku/>
        <w:wordWrap/>
        <w:overflowPunct/>
        <w:topLinePunct w:val="0"/>
        <w:autoSpaceDE/>
        <w:autoSpaceDN/>
        <w:bidi w:val="0"/>
        <w:adjustRightInd/>
        <w:snapToGrid/>
        <w:spacing w:after="0" w:line="360" w:lineRule="exact"/>
        <w:ind w:left="0" w:leftChars="0" w:right="0" w:rightChars="0" w:firstLine="440" w:firstLineChars="200"/>
        <w:jc w:val="both"/>
        <w:textAlignment w:val="auto"/>
        <w:outlineLvl w:val="9"/>
        <w:rPr>
          <w:rFonts w:hint="eastAsia" w:asciiTheme="minorEastAsia" w:hAnsiTheme="minorEastAsia" w:eastAsiaTheme="minorEastAsia" w:cstheme="minorEastAsia"/>
          <w:bCs/>
          <w:color w:val="auto"/>
          <w:sz w:val="22"/>
          <w:szCs w:val="22"/>
          <w:highlight w:val="none"/>
          <w:lang w:eastAsia="zh-CN"/>
        </w:rPr>
      </w:pPr>
      <w:r>
        <w:rPr>
          <w:rFonts w:hint="eastAsia" w:asciiTheme="minorEastAsia" w:hAnsiTheme="minorEastAsia" w:eastAsiaTheme="minorEastAsia" w:cstheme="minorEastAsia"/>
          <w:bCs/>
          <w:color w:val="auto"/>
          <w:sz w:val="22"/>
          <w:szCs w:val="22"/>
          <w:highlight w:val="none"/>
          <w:lang w:val="en-US" w:eastAsia="zh-CN"/>
        </w:rPr>
        <w:t>6.</w:t>
      </w:r>
      <w:r>
        <w:rPr>
          <w:rFonts w:hint="eastAsia" w:asciiTheme="minorEastAsia" w:hAnsiTheme="minorEastAsia" w:eastAsiaTheme="minorEastAsia" w:cstheme="minorEastAsia"/>
          <w:bCs/>
          <w:color w:val="auto"/>
          <w:sz w:val="22"/>
          <w:szCs w:val="22"/>
          <w:highlight w:val="none"/>
          <w:lang w:eastAsia="zh-CN"/>
        </w:rPr>
        <w:t>封闭耗材（试剂）报价表需按要求加盖供应商及生产企业公章，</w:t>
      </w:r>
      <w:r>
        <w:rPr>
          <w:rFonts w:hint="eastAsia" w:asciiTheme="minorEastAsia" w:hAnsiTheme="minorEastAsia" w:eastAsiaTheme="minorEastAsia" w:cstheme="minorEastAsia"/>
          <w:bCs/>
          <w:color w:val="auto"/>
          <w:sz w:val="22"/>
          <w:szCs w:val="22"/>
          <w:highlight w:val="none"/>
        </w:rPr>
        <w:t>如出现多个生产厂家的，需全部生产厂家逐一对其产品盖章确认</w:t>
      </w:r>
      <w:r>
        <w:rPr>
          <w:rFonts w:hint="eastAsia" w:asciiTheme="minorEastAsia" w:hAnsiTheme="minorEastAsia" w:eastAsiaTheme="minorEastAsia" w:cstheme="minorEastAsia"/>
          <w:bCs/>
          <w:color w:val="auto"/>
          <w:sz w:val="22"/>
          <w:szCs w:val="22"/>
          <w:highlight w:val="none"/>
          <w:lang w:eastAsia="zh-CN"/>
        </w:rPr>
        <w:t>；</w:t>
      </w:r>
    </w:p>
    <w:p>
      <w:pPr>
        <w:pStyle w:val="17"/>
        <w:keepNext w:val="0"/>
        <w:keepLines w:val="0"/>
        <w:pageBreakBefore w:val="0"/>
        <w:widowControl w:val="0"/>
        <w:kinsoku/>
        <w:wordWrap/>
        <w:overflowPunct/>
        <w:topLinePunct w:val="0"/>
        <w:autoSpaceDE/>
        <w:autoSpaceDN/>
        <w:bidi w:val="0"/>
        <w:adjustRightInd/>
        <w:snapToGrid/>
        <w:spacing w:after="0" w:line="360" w:lineRule="exact"/>
        <w:ind w:left="0" w:leftChars="0" w:right="0" w:rightChars="0" w:firstLine="440" w:firstLineChars="200"/>
        <w:jc w:val="both"/>
        <w:textAlignment w:val="auto"/>
        <w:outlineLvl w:val="9"/>
        <w:rPr>
          <w:rFonts w:hint="eastAsia" w:asciiTheme="minorEastAsia" w:hAnsiTheme="minorEastAsia" w:eastAsiaTheme="minorEastAsia" w:cstheme="minorEastAsia"/>
          <w:bCs/>
          <w:color w:val="auto"/>
          <w:sz w:val="22"/>
          <w:szCs w:val="22"/>
          <w:highlight w:val="none"/>
          <w:lang w:val="en-US" w:eastAsia="zh-CN"/>
        </w:rPr>
      </w:pPr>
      <w:r>
        <w:rPr>
          <w:rFonts w:hint="eastAsia" w:asciiTheme="minorEastAsia" w:hAnsiTheme="minorEastAsia" w:eastAsiaTheme="minorEastAsia" w:cstheme="minorEastAsia"/>
          <w:bCs/>
          <w:color w:val="auto"/>
          <w:sz w:val="22"/>
          <w:szCs w:val="22"/>
          <w:highlight w:val="none"/>
          <w:lang w:val="en-US" w:eastAsia="zh-CN"/>
        </w:rPr>
        <w:t>封闭耗材（试剂）报价表及其他要求详见“第八章 文件组成及专用附件格式”。</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outlineLvl w:val="9"/>
        <w:rPr>
          <w:rFonts w:hint="eastAsia"/>
          <w:b w:val="0"/>
          <w:color w:val="auto"/>
          <w:szCs w:val="44"/>
          <w:highlight w:val="none"/>
          <w:lang w:val="zh-CN"/>
        </w:rPr>
      </w:pPr>
      <w:bookmarkStart w:id="35" w:name="_GoBack"/>
      <w:bookmarkEnd w:id="35"/>
      <w:bookmarkStart w:id="23" w:name="_Toc27977"/>
      <w:bookmarkStart w:id="24" w:name="_Toc17172"/>
      <w:bookmarkStart w:id="25" w:name="_Toc7226"/>
      <w:bookmarkStart w:id="26" w:name="_Toc112768494"/>
      <w:bookmarkStart w:id="27" w:name="_Toc2550"/>
      <w:bookmarkStart w:id="28" w:name="_Toc31554"/>
      <w:bookmarkStart w:id="29" w:name="_Toc128154369"/>
      <w:bookmarkStart w:id="30" w:name="_Toc132186976"/>
      <w:bookmarkStart w:id="31" w:name="_Toc130661177"/>
      <w:bookmarkStart w:id="32" w:name="_Toc130888008"/>
      <w:bookmarkStart w:id="33" w:name="_Toc128470296"/>
      <w:bookmarkStart w:id="34" w:name="_Toc132191260"/>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outlineLvl w:val="9"/>
        <w:rPr>
          <w:rFonts w:hint="eastAsia"/>
          <w:b w:val="0"/>
          <w:color w:val="auto"/>
          <w:szCs w:val="44"/>
          <w:highlight w:val="none"/>
          <w:lang w:val="zh-CN"/>
        </w:rPr>
      </w:pPr>
    </w:p>
    <w:bookmarkEnd w:id="23"/>
    <w:bookmarkEnd w:id="24"/>
    <w:bookmarkEnd w:id="25"/>
    <w:bookmarkEnd w:id="26"/>
    <w:bookmarkEnd w:id="27"/>
    <w:bookmarkEnd w:id="28"/>
    <w:bookmarkEnd w:id="29"/>
    <w:bookmarkEnd w:id="30"/>
    <w:bookmarkEnd w:id="31"/>
    <w:bookmarkEnd w:id="32"/>
    <w:bookmarkEnd w:id="33"/>
    <w:bookmarkEnd w:id="34"/>
    <w:p>
      <w:pPr>
        <w:rPr>
          <w:rFonts w:hint="eastAsia"/>
          <w:color w:val="auto"/>
          <w:highlight w:val="none"/>
        </w:rPr>
      </w:pPr>
    </w:p>
    <w:sectPr>
      <w:headerReference r:id="rId3" w:type="default"/>
      <w:footerReference r:id="rId4" w:type="default"/>
      <w:pgSz w:w="11906" w:h="16838"/>
      <w:pgMar w:top="1418" w:right="1134" w:bottom="1418"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modern"/>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rPr>
        <w:rFonts w:hint="eastAsia"/>
      </w:rPr>
      <w:fldChar w:fldCharType="begin"/>
    </w:r>
    <w:r>
      <w:rPr>
        <w:rFonts w:hint="eastAsia"/>
      </w:rPr>
      <w:instrText xml:space="preserve">PAGE   \* MERGEFORMAT</w:instrText>
    </w:r>
    <w:r>
      <w:rPr>
        <w:rFonts w:hint="eastAsia"/>
      </w:rPr>
      <w:fldChar w:fldCharType="separate"/>
    </w:r>
    <w:r>
      <w:rPr>
        <w:lang w:val="zh-CN"/>
      </w:rPr>
      <w:t>101</w:t>
    </w:r>
    <w:r>
      <w:rPr>
        <w:rFonts w:hint="eastAsia"/>
        <w:lang w:val="zh-CN"/>
      </w:rPr>
      <w:fldChar w:fldCharType="end"/>
    </w:r>
  </w:p>
  <w:p>
    <w:pPr>
      <w:pStyle w:val="2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numPr>
        <w:ilvl w:val="0"/>
        <w:numId w:val="0"/>
      </w:numPr>
      <w:jc w:val="center"/>
      <w:rPr>
        <w:rFonts w:ascii="楷体_GB2312" w:hAnsi="楷体" w:eastAsia="楷体_GB2312"/>
        <w:sz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5E0632"/>
    <w:rsid w:val="01C35271"/>
    <w:rsid w:val="0233386D"/>
    <w:rsid w:val="03341722"/>
    <w:rsid w:val="039A4DF7"/>
    <w:rsid w:val="03EB21D0"/>
    <w:rsid w:val="04504BAA"/>
    <w:rsid w:val="046E1FF1"/>
    <w:rsid w:val="04A465CA"/>
    <w:rsid w:val="052971A9"/>
    <w:rsid w:val="05A625A8"/>
    <w:rsid w:val="05AF3B52"/>
    <w:rsid w:val="05F23A3F"/>
    <w:rsid w:val="062E0F1B"/>
    <w:rsid w:val="068A7901"/>
    <w:rsid w:val="068B011B"/>
    <w:rsid w:val="068F3964"/>
    <w:rsid w:val="06D56742"/>
    <w:rsid w:val="0701218C"/>
    <w:rsid w:val="08000695"/>
    <w:rsid w:val="093E2FA0"/>
    <w:rsid w:val="09673E3C"/>
    <w:rsid w:val="0A8F788E"/>
    <w:rsid w:val="0AAE4A96"/>
    <w:rsid w:val="0ADB3246"/>
    <w:rsid w:val="0BFE1539"/>
    <w:rsid w:val="0C3628D7"/>
    <w:rsid w:val="0CB43781"/>
    <w:rsid w:val="0D386468"/>
    <w:rsid w:val="0D6E6CE6"/>
    <w:rsid w:val="0E06452B"/>
    <w:rsid w:val="0E6F3E7F"/>
    <w:rsid w:val="0E87566C"/>
    <w:rsid w:val="0EE76E01"/>
    <w:rsid w:val="0F16079E"/>
    <w:rsid w:val="0FF10C12"/>
    <w:rsid w:val="10230F9F"/>
    <w:rsid w:val="111B15B3"/>
    <w:rsid w:val="11FF551A"/>
    <w:rsid w:val="12004308"/>
    <w:rsid w:val="12187FE5"/>
    <w:rsid w:val="125A3535"/>
    <w:rsid w:val="12A52565"/>
    <w:rsid w:val="12CC61CB"/>
    <w:rsid w:val="12F2507E"/>
    <w:rsid w:val="13CF39F0"/>
    <w:rsid w:val="152534E9"/>
    <w:rsid w:val="15F723FE"/>
    <w:rsid w:val="16581D30"/>
    <w:rsid w:val="18433A70"/>
    <w:rsid w:val="18695DE3"/>
    <w:rsid w:val="195F062F"/>
    <w:rsid w:val="1A932AD1"/>
    <w:rsid w:val="1ABF7F3C"/>
    <w:rsid w:val="1ADF74F2"/>
    <w:rsid w:val="1D0E6F59"/>
    <w:rsid w:val="1DA85478"/>
    <w:rsid w:val="1DD3548B"/>
    <w:rsid w:val="1DED21D8"/>
    <w:rsid w:val="1F0E3DA5"/>
    <w:rsid w:val="1F7F74E9"/>
    <w:rsid w:val="1FB2006F"/>
    <w:rsid w:val="1FB6569F"/>
    <w:rsid w:val="1FC77E86"/>
    <w:rsid w:val="20CE49AC"/>
    <w:rsid w:val="217F21D3"/>
    <w:rsid w:val="21C61BB0"/>
    <w:rsid w:val="21ED35E0"/>
    <w:rsid w:val="22156EF6"/>
    <w:rsid w:val="229E1B1E"/>
    <w:rsid w:val="22C35EAF"/>
    <w:rsid w:val="22F75C0D"/>
    <w:rsid w:val="23063291"/>
    <w:rsid w:val="230C5CE8"/>
    <w:rsid w:val="2432177F"/>
    <w:rsid w:val="245060A9"/>
    <w:rsid w:val="24C20D54"/>
    <w:rsid w:val="25114177"/>
    <w:rsid w:val="25C96113"/>
    <w:rsid w:val="26CC5F32"/>
    <w:rsid w:val="271D5F0A"/>
    <w:rsid w:val="276C144B"/>
    <w:rsid w:val="28380AEF"/>
    <w:rsid w:val="287D3B77"/>
    <w:rsid w:val="290F7096"/>
    <w:rsid w:val="2A1738F0"/>
    <w:rsid w:val="2AA74552"/>
    <w:rsid w:val="2B0F6376"/>
    <w:rsid w:val="2B127F26"/>
    <w:rsid w:val="2B1A7EED"/>
    <w:rsid w:val="2BAA0794"/>
    <w:rsid w:val="2C215763"/>
    <w:rsid w:val="2D0973CA"/>
    <w:rsid w:val="2DCF44E2"/>
    <w:rsid w:val="2E1B296B"/>
    <w:rsid w:val="2E262354"/>
    <w:rsid w:val="2E552C39"/>
    <w:rsid w:val="30843362"/>
    <w:rsid w:val="326276D3"/>
    <w:rsid w:val="339A10EE"/>
    <w:rsid w:val="33B757FC"/>
    <w:rsid w:val="33B83430"/>
    <w:rsid w:val="3437693D"/>
    <w:rsid w:val="35C91DF7"/>
    <w:rsid w:val="36623A07"/>
    <w:rsid w:val="3699568D"/>
    <w:rsid w:val="36CA5847"/>
    <w:rsid w:val="37141D64"/>
    <w:rsid w:val="371F2036"/>
    <w:rsid w:val="38A7470F"/>
    <w:rsid w:val="38C26B8B"/>
    <w:rsid w:val="3A7E52C6"/>
    <w:rsid w:val="3AA6016F"/>
    <w:rsid w:val="3AF236EA"/>
    <w:rsid w:val="3AF3480F"/>
    <w:rsid w:val="3B273268"/>
    <w:rsid w:val="3B626996"/>
    <w:rsid w:val="3B787F67"/>
    <w:rsid w:val="3B8F040E"/>
    <w:rsid w:val="3D254F2F"/>
    <w:rsid w:val="3D3B749E"/>
    <w:rsid w:val="3DB03FCF"/>
    <w:rsid w:val="3DFC38D5"/>
    <w:rsid w:val="3E442382"/>
    <w:rsid w:val="40BE1D68"/>
    <w:rsid w:val="413825AF"/>
    <w:rsid w:val="417C1216"/>
    <w:rsid w:val="41970A1B"/>
    <w:rsid w:val="41A5138A"/>
    <w:rsid w:val="41CA7496"/>
    <w:rsid w:val="41D775CC"/>
    <w:rsid w:val="423B7BF3"/>
    <w:rsid w:val="42B86E9B"/>
    <w:rsid w:val="431762B8"/>
    <w:rsid w:val="431F4614"/>
    <w:rsid w:val="4420585E"/>
    <w:rsid w:val="4427077C"/>
    <w:rsid w:val="448252F0"/>
    <w:rsid w:val="47A65E5C"/>
    <w:rsid w:val="47C00CCC"/>
    <w:rsid w:val="47D66741"/>
    <w:rsid w:val="48194B54"/>
    <w:rsid w:val="48202D1F"/>
    <w:rsid w:val="48C60564"/>
    <w:rsid w:val="49042E3A"/>
    <w:rsid w:val="49494CF1"/>
    <w:rsid w:val="4BD50ABE"/>
    <w:rsid w:val="4C001FDF"/>
    <w:rsid w:val="4DBD6AAD"/>
    <w:rsid w:val="4DC42B98"/>
    <w:rsid w:val="4E1058E2"/>
    <w:rsid w:val="4EB94800"/>
    <w:rsid w:val="4F437BA1"/>
    <w:rsid w:val="4F9A62A6"/>
    <w:rsid w:val="50F32112"/>
    <w:rsid w:val="514D61C2"/>
    <w:rsid w:val="518A6447"/>
    <w:rsid w:val="52293911"/>
    <w:rsid w:val="522B5E7C"/>
    <w:rsid w:val="523E5075"/>
    <w:rsid w:val="531558BC"/>
    <w:rsid w:val="53EB539E"/>
    <w:rsid w:val="5422054D"/>
    <w:rsid w:val="54A320E7"/>
    <w:rsid w:val="54D11CCC"/>
    <w:rsid w:val="550B6A44"/>
    <w:rsid w:val="55120D38"/>
    <w:rsid w:val="55E95954"/>
    <w:rsid w:val="55FA4A80"/>
    <w:rsid w:val="56710C02"/>
    <w:rsid w:val="567A4B4E"/>
    <w:rsid w:val="56CE6835"/>
    <w:rsid w:val="572A5C41"/>
    <w:rsid w:val="57580F21"/>
    <w:rsid w:val="580D103B"/>
    <w:rsid w:val="59B73BAB"/>
    <w:rsid w:val="59C363FA"/>
    <w:rsid w:val="5A113609"/>
    <w:rsid w:val="5A8201E5"/>
    <w:rsid w:val="5ACA4DFD"/>
    <w:rsid w:val="5B0176E4"/>
    <w:rsid w:val="5B9A423C"/>
    <w:rsid w:val="5C8B189D"/>
    <w:rsid w:val="5D445AA3"/>
    <w:rsid w:val="5E714676"/>
    <w:rsid w:val="5E9D546B"/>
    <w:rsid w:val="5ED209B4"/>
    <w:rsid w:val="612754C0"/>
    <w:rsid w:val="613A3445"/>
    <w:rsid w:val="61B4396B"/>
    <w:rsid w:val="6235591B"/>
    <w:rsid w:val="62B17737"/>
    <w:rsid w:val="62DB2E47"/>
    <w:rsid w:val="63415520"/>
    <w:rsid w:val="63EE6769"/>
    <w:rsid w:val="640F0BB9"/>
    <w:rsid w:val="654C072C"/>
    <w:rsid w:val="6562503C"/>
    <w:rsid w:val="663C1ADB"/>
    <w:rsid w:val="670F4827"/>
    <w:rsid w:val="67B5251D"/>
    <w:rsid w:val="67C365D4"/>
    <w:rsid w:val="687716F6"/>
    <w:rsid w:val="690D143F"/>
    <w:rsid w:val="69F745C9"/>
    <w:rsid w:val="6A0359B4"/>
    <w:rsid w:val="6A114F5F"/>
    <w:rsid w:val="6A65190A"/>
    <w:rsid w:val="6B25645F"/>
    <w:rsid w:val="6C040369"/>
    <w:rsid w:val="6C8C6991"/>
    <w:rsid w:val="6D096DF4"/>
    <w:rsid w:val="6EE204E8"/>
    <w:rsid w:val="6F467D7F"/>
    <w:rsid w:val="6F4B12C5"/>
    <w:rsid w:val="70E01533"/>
    <w:rsid w:val="70E114A5"/>
    <w:rsid w:val="714E5FA0"/>
    <w:rsid w:val="71593474"/>
    <w:rsid w:val="721A4604"/>
    <w:rsid w:val="72B02765"/>
    <w:rsid w:val="72FC5047"/>
    <w:rsid w:val="730B6EFE"/>
    <w:rsid w:val="738422A3"/>
    <w:rsid w:val="7409244C"/>
    <w:rsid w:val="756E3C30"/>
    <w:rsid w:val="76796366"/>
    <w:rsid w:val="76B161F9"/>
    <w:rsid w:val="771961A4"/>
    <w:rsid w:val="779711A1"/>
    <w:rsid w:val="7A3155B7"/>
    <w:rsid w:val="7A3A36CD"/>
    <w:rsid w:val="7A4153ED"/>
    <w:rsid w:val="7ABD27F2"/>
    <w:rsid w:val="7B724410"/>
    <w:rsid w:val="7B7A36AA"/>
    <w:rsid w:val="7BF546E1"/>
    <w:rsid w:val="7C4D62CB"/>
    <w:rsid w:val="7C5424EB"/>
    <w:rsid w:val="7CB9570E"/>
    <w:rsid w:val="7E3037AE"/>
    <w:rsid w:val="7F0C2270"/>
    <w:rsid w:val="7FC51BEC"/>
    <w:rsid w:val="7FE23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1"/>
    <w:qFormat/>
    <w:uiPriority w:val="0"/>
    <w:pPr>
      <w:keepNext/>
      <w:jc w:val="center"/>
      <w:outlineLvl w:val="0"/>
    </w:pPr>
    <w:rPr>
      <w:b/>
      <w:bCs/>
      <w:sz w:val="24"/>
      <w:szCs w:val="20"/>
    </w:rPr>
  </w:style>
  <w:style w:type="paragraph" w:styleId="4">
    <w:name w:val="heading 2"/>
    <w:basedOn w:val="1"/>
    <w:next w:val="1"/>
    <w:link w:val="52"/>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3"/>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4"/>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55"/>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6"/>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7"/>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8"/>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9"/>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4">
    <w:name w:val="Default Paragraph Font"/>
    <w:unhideWhenUsed/>
    <w:qFormat/>
    <w:uiPriority w:val="1"/>
  </w:style>
  <w:style w:type="table" w:default="1" w:styleId="42">
    <w:name w:val="Normal Table"/>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7"/>
    <w:qFormat/>
    <w:uiPriority w:val="0"/>
    <w:pPr>
      <w:jc w:val="left"/>
    </w:pPr>
  </w:style>
  <w:style w:type="paragraph" w:styleId="16">
    <w:name w:val="Salutation"/>
    <w:basedOn w:val="1"/>
    <w:next w:val="1"/>
    <w:link w:val="72"/>
    <w:qFormat/>
    <w:uiPriority w:val="0"/>
    <w:rPr>
      <w:rFonts w:ascii="仿宋_GB2312" w:eastAsia="仿宋_GB2312"/>
      <w:sz w:val="24"/>
    </w:rPr>
  </w:style>
  <w:style w:type="paragraph" w:styleId="17">
    <w:name w:val="Body Text"/>
    <w:basedOn w:val="1"/>
    <w:next w:val="1"/>
    <w:link w:val="61"/>
    <w:qFormat/>
    <w:uiPriority w:val="99"/>
    <w:pPr>
      <w:spacing w:after="120"/>
    </w:pPr>
  </w:style>
  <w:style w:type="paragraph" w:styleId="18">
    <w:name w:val="Body Text Indent"/>
    <w:basedOn w:val="1"/>
    <w:link w:val="64"/>
    <w:qFormat/>
    <w:uiPriority w:val="0"/>
    <w:pPr>
      <w:spacing w:after="120"/>
      <w:ind w:left="420" w:leftChars="200"/>
    </w:pPr>
  </w:style>
  <w:style w:type="paragraph" w:styleId="19">
    <w:name w:val="Block Text"/>
    <w:basedOn w:val="1"/>
    <w:qFormat/>
    <w:uiPriority w:val="0"/>
    <w:pPr>
      <w:ind w:left="1171" w:right="91" w:hanging="1080"/>
    </w:pPr>
    <w:rPr>
      <w:rFonts w:eastAsia="楷体_GB2312"/>
      <w:szCs w:val="20"/>
    </w:rPr>
  </w:style>
  <w:style w:type="paragraph" w:styleId="20">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1">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2">
    <w:name w:val="Plain Text"/>
    <w:basedOn w:val="1"/>
    <w:link w:val="66"/>
    <w:qFormat/>
    <w:uiPriority w:val="0"/>
    <w:rPr>
      <w:rFonts w:ascii="宋体" w:hAnsi="Courier New" w:cs="Courier New"/>
      <w:szCs w:val="21"/>
    </w:rPr>
  </w:style>
  <w:style w:type="paragraph" w:styleId="2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4">
    <w:name w:val="Date"/>
    <w:basedOn w:val="1"/>
    <w:next w:val="1"/>
    <w:link w:val="77"/>
    <w:qFormat/>
    <w:uiPriority w:val="0"/>
    <w:rPr>
      <w:sz w:val="24"/>
      <w:szCs w:val="20"/>
    </w:rPr>
  </w:style>
  <w:style w:type="paragraph" w:styleId="25">
    <w:name w:val="Body Text Indent 2"/>
    <w:basedOn w:val="1"/>
    <w:link w:val="74"/>
    <w:qFormat/>
    <w:uiPriority w:val="0"/>
    <w:pPr>
      <w:spacing w:after="120" w:line="480" w:lineRule="auto"/>
      <w:ind w:left="420" w:leftChars="200"/>
    </w:pPr>
  </w:style>
  <w:style w:type="paragraph" w:styleId="26">
    <w:name w:val="Balloon Text"/>
    <w:basedOn w:val="1"/>
    <w:link w:val="89"/>
    <w:qFormat/>
    <w:uiPriority w:val="0"/>
    <w:rPr>
      <w:sz w:val="18"/>
      <w:szCs w:val="18"/>
    </w:rPr>
  </w:style>
  <w:style w:type="paragraph" w:styleId="27">
    <w:name w:val="footer"/>
    <w:basedOn w:val="1"/>
    <w:link w:val="62"/>
    <w:qFormat/>
    <w:uiPriority w:val="99"/>
    <w:pPr>
      <w:tabs>
        <w:tab w:val="center" w:pos="4153"/>
        <w:tab w:val="right" w:pos="8306"/>
      </w:tabs>
      <w:snapToGrid w:val="0"/>
      <w:jc w:val="left"/>
    </w:pPr>
    <w:rPr>
      <w:sz w:val="18"/>
      <w:szCs w:val="18"/>
    </w:rPr>
  </w:style>
  <w:style w:type="paragraph" w:styleId="28">
    <w:name w:val="header"/>
    <w:basedOn w:val="1"/>
    <w:link w:val="63"/>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line="360" w:lineRule="auto"/>
      <w:jc w:val="left"/>
    </w:pPr>
    <w:rPr>
      <w:rFonts w:eastAsia="黑体" w:asciiTheme="minorEastAsia" w:hAnsiTheme="minorEastAsia"/>
      <w:sz w:val="32"/>
      <w:szCs w:val="21"/>
    </w:rPr>
  </w:style>
  <w:style w:type="paragraph" w:styleId="30">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1">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2">
    <w:name w:val="toc 6"/>
    <w:basedOn w:val="1"/>
    <w:next w:val="1"/>
    <w:qFormat/>
    <w:uiPriority w:val="39"/>
    <w:pPr>
      <w:ind w:left="2100"/>
    </w:pPr>
    <w:rPr>
      <w:szCs w:val="20"/>
    </w:rPr>
  </w:style>
  <w:style w:type="paragraph" w:styleId="33">
    <w:name w:val="Body Text Indent 3"/>
    <w:basedOn w:val="1"/>
    <w:link w:val="76"/>
    <w:qFormat/>
    <w:uiPriority w:val="0"/>
    <w:pPr>
      <w:spacing w:after="120"/>
      <w:ind w:left="420" w:leftChars="200"/>
    </w:pPr>
    <w:rPr>
      <w:sz w:val="16"/>
      <w:szCs w:val="16"/>
    </w:rPr>
  </w:style>
  <w:style w:type="paragraph" w:styleId="34">
    <w:name w:val="toc 2"/>
    <w:basedOn w:val="1"/>
    <w:next w:val="1"/>
    <w:unhideWhenUsed/>
    <w:qFormat/>
    <w:uiPriority w:val="39"/>
    <w:pPr>
      <w:spacing w:line="360" w:lineRule="auto"/>
    </w:pPr>
    <w:rPr>
      <w:rFonts w:eastAsiaTheme="minorEastAsia"/>
      <w:b/>
      <w:sz w:val="28"/>
    </w:r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Body Text 2"/>
    <w:basedOn w:val="1"/>
    <w:link w:val="73"/>
    <w:qFormat/>
    <w:uiPriority w:val="0"/>
    <w:pPr>
      <w:spacing w:after="120" w:line="480" w:lineRule="auto"/>
    </w:pPr>
  </w:style>
  <w:style w:type="paragraph" w:styleId="37">
    <w:name w:val="HTML Preformatted"/>
    <w:basedOn w:val="1"/>
    <w:link w:val="7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eastAsia="仿宋_GB2312"/>
      <w:szCs w:val="20"/>
    </w:rPr>
  </w:style>
  <w:style w:type="paragraph" w:styleId="40">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1">
    <w:name w:val="annotation subject"/>
    <w:basedOn w:val="15"/>
    <w:next w:val="15"/>
    <w:link w:val="88"/>
    <w:qFormat/>
    <w:uiPriority w:val="0"/>
    <w:rPr>
      <w:b/>
      <w:bCs/>
    </w:rPr>
  </w:style>
  <w:style w:type="table" w:styleId="43">
    <w:name w:val="Table Grid"/>
    <w:basedOn w:val="4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22"/>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99"/>
    <w:rPr>
      <w:color w:val="136EC2"/>
      <w:u w:val="single"/>
    </w:rPr>
  </w:style>
  <w:style w:type="character" w:styleId="49">
    <w:name w:val="annotation reference"/>
    <w:qFormat/>
    <w:uiPriority w:val="0"/>
    <w:rPr>
      <w:sz w:val="21"/>
      <w:szCs w:val="21"/>
    </w:rPr>
  </w:style>
  <w:style w:type="paragraph" w:customStyle="1" w:styleId="50">
    <w:name w:val="样式1"/>
    <w:basedOn w:val="1"/>
    <w:next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51">
    <w:name w:val="标题 1 字符1"/>
    <w:basedOn w:val="44"/>
    <w:link w:val="3"/>
    <w:qFormat/>
    <w:uiPriority w:val="0"/>
    <w:rPr>
      <w:rFonts w:ascii="Times New Roman" w:hAnsi="Times New Roman" w:eastAsia="宋体" w:cs="Times New Roman"/>
      <w:b/>
      <w:bCs/>
      <w:sz w:val="24"/>
      <w:szCs w:val="20"/>
    </w:rPr>
  </w:style>
  <w:style w:type="character" w:customStyle="1" w:styleId="52">
    <w:name w:val="标题 2 字符1"/>
    <w:basedOn w:val="44"/>
    <w:link w:val="4"/>
    <w:qFormat/>
    <w:uiPriority w:val="0"/>
    <w:rPr>
      <w:rFonts w:ascii="Arial" w:hAnsi="Arial" w:eastAsia="方正小标宋简体" w:cs="Times New Roman"/>
      <w:b/>
      <w:bCs/>
      <w:kern w:val="2"/>
      <w:sz w:val="44"/>
      <w:szCs w:val="32"/>
    </w:rPr>
  </w:style>
  <w:style w:type="character" w:customStyle="1" w:styleId="53">
    <w:name w:val="标题 3 字符"/>
    <w:basedOn w:val="44"/>
    <w:link w:val="5"/>
    <w:qFormat/>
    <w:uiPriority w:val="0"/>
    <w:rPr>
      <w:rFonts w:ascii="Times New Roman" w:hAnsi="Times New Roman" w:eastAsia="黑体" w:cs="Times New Roman"/>
      <w:b/>
      <w:bCs/>
      <w:kern w:val="2"/>
      <w:sz w:val="32"/>
      <w:szCs w:val="32"/>
    </w:rPr>
  </w:style>
  <w:style w:type="character" w:customStyle="1" w:styleId="54">
    <w:name w:val="标题 4 字符1"/>
    <w:basedOn w:val="44"/>
    <w:link w:val="6"/>
    <w:qFormat/>
    <w:uiPriority w:val="0"/>
    <w:rPr>
      <w:rFonts w:ascii="Arial" w:hAnsi="Arial" w:eastAsia="黑体" w:cs="Times New Roman"/>
      <w:b/>
      <w:bCs/>
      <w:sz w:val="28"/>
      <w:szCs w:val="28"/>
    </w:rPr>
  </w:style>
  <w:style w:type="character" w:customStyle="1" w:styleId="55">
    <w:name w:val="标题 5 字符"/>
    <w:basedOn w:val="44"/>
    <w:link w:val="7"/>
    <w:qFormat/>
    <w:uiPriority w:val="0"/>
    <w:rPr>
      <w:rFonts w:ascii="Times New Roman" w:hAnsi="Times New Roman" w:eastAsia="宋体" w:cs="Times New Roman"/>
      <w:b/>
      <w:bCs/>
      <w:kern w:val="0"/>
      <w:sz w:val="28"/>
      <w:szCs w:val="28"/>
    </w:rPr>
  </w:style>
  <w:style w:type="character" w:customStyle="1" w:styleId="56">
    <w:name w:val="标题 6 字符"/>
    <w:basedOn w:val="44"/>
    <w:link w:val="8"/>
    <w:qFormat/>
    <w:uiPriority w:val="0"/>
    <w:rPr>
      <w:rFonts w:ascii="Arial" w:hAnsi="Arial" w:eastAsia="黑体" w:cs="Times New Roman"/>
      <w:b/>
      <w:bCs/>
      <w:kern w:val="0"/>
      <w:sz w:val="24"/>
      <w:szCs w:val="24"/>
    </w:rPr>
  </w:style>
  <w:style w:type="character" w:customStyle="1" w:styleId="57">
    <w:name w:val="标题 7 字符"/>
    <w:basedOn w:val="44"/>
    <w:link w:val="9"/>
    <w:qFormat/>
    <w:uiPriority w:val="0"/>
    <w:rPr>
      <w:rFonts w:ascii="Times New Roman" w:hAnsi="Times New Roman" w:eastAsia="宋体" w:cs="Times New Roman"/>
      <w:b/>
      <w:bCs/>
      <w:kern w:val="0"/>
      <w:sz w:val="24"/>
      <w:szCs w:val="24"/>
    </w:rPr>
  </w:style>
  <w:style w:type="character" w:customStyle="1" w:styleId="58">
    <w:name w:val="标题 8 字符"/>
    <w:basedOn w:val="44"/>
    <w:link w:val="10"/>
    <w:qFormat/>
    <w:uiPriority w:val="0"/>
    <w:rPr>
      <w:rFonts w:ascii="Arial" w:hAnsi="Arial" w:eastAsia="黑体" w:cs="Times New Roman"/>
      <w:kern w:val="0"/>
      <w:sz w:val="24"/>
      <w:szCs w:val="24"/>
    </w:rPr>
  </w:style>
  <w:style w:type="character" w:customStyle="1" w:styleId="59">
    <w:name w:val="标题 9 字符"/>
    <w:basedOn w:val="44"/>
    <w:link w:val="11"/>
    <w:qFormat/>
    <w:uiPriority w:val="0"/>
    <w:rPr>
      <w:rFonts w:ascii="Arial" w:hAnsi="Arial" w:eastAsia="黑体" w:cs="Times New Roman"/>
      <w:kern w:val="0"/>
      <w:szCs w:val="21"/>
    </w:rPr>
  </w:style>
  <w:style w:type="paragraph" w:customStyle="1" w:styleId="60">
    <w:name w:val="表格内容"/>
    <w:basedOn w:val="17"/>
    <w:qFormat/>
    <w:uiPriority w:val="0"/>
    <w:pPr>
      <w:suppressLineNumbers/>
      <w:suppressAutoHyphens/>
      <w:jc w:val="left"/>
    </w:pPr>
    <w:rPr>
      <w:rFonts w:cs="Tahoma"/>
      <w:kern w:val="0"/>
      <w:sz w:val="24"/>
    </w:rPr>
  </w:style>
  <w:style w:type="character" w:customStyle="1" w:styleId="61">
    <w:name w:val="正文文本 字符1"/>
    <w:basedOn w:val="44"/>
    <w:link w:val="17"/>
    <w:qFormat/>
    <w:uiPriority w:val="0"/>
    <w:rPr>
      <w:rFonts w:ascii="Times New Roman" w:hAnsi="Times New Roman" w:eastAsia="宋体" w:cs="Times New Roman"/>
      <w:szCs w:val="24"/>
    </w:rPr>
  </w:style>
  <w:style w:type="character" w:customStyle="1" w:styleId="62">
    <w:name w:val="页脚 字符1"/>
    <w:basedOn w:val="44"/>
    <w:link w:val="27"/>
    <w:qFormat/>
    <w:uiPriority w:val="99"/>
    <w:rPr>
      <w:rFonts w:ascii="Times New Roman" w:hAnsi="Times New Roman" w:eastAsia="宋体" w:cs="Times New Roman"/>
      <w:sz w:val="18"/>
      <w:szCs w:val="18"/>
    </w:rPr>
  </w:style>
  <w:style w:type="character" w:customStyle="1" w:styleId="63">
    <w:name w:val="页眉 字符1"/>
    <w:basedOn w:val="44"/>
    <w:link w:val="28"/>
    <w:qFormat/>
    <w:uiPriority w:val="99"/>
    <w:rPr>
      <w:rFonts w:ascii="Times New Roman" w:hAnsi="Times New Roman" w:eastAsia="宋体" w:cs="Times New Roman"/>
      <w:sz w:val="18"/>
      <w:szCs w:val="18"/>
    </w:rPr>
  </w:style>
  <w:style w:type="character" w:customStyle="1" w:styleId="64">
    <w:name w:val="正文文本缩进 字符1"/>
    <w:basedOn w:val="44"/>
    <w:link w:val="18"/>
    <w:qFormat/>
    <w:uiPriority w:val="0"/>
    <w:rPr>
      <w:rFonts w:ascii="Times New Roman" w:hAnsi="Times New Roman" w:eastAsia="宋体" w:cs="Times New Roman"/>
      <w:szCs w:val="24"/>
    </w:rPr>
  </w:style>
  <w:style w:type="paragraph" w:customStyle="1" w:styleId="65">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6">
    <w:name w:val="纯文本 字符1"/>
    <w:basedOn w:val="44"/>
    <w:link w:val="22"/>
    <w:qFormat/>
    <w:uiPriority w:val="0"/>
    <w:rPr>
      <w:rFonts w:ascii="宋体" w:hAnsi="Courier New" w:eastAsia="宋体" w:cs="Courier New"/>
      <w:szCs w:val="21"/>
    </w:rPr>
  </w:style>
  <w:style w:type="character" w:customStyle="1" w:styleId="67">
    <w:name w:val="批注文字 字符1"/>
    <w:basedOn w:val="44"/>
    <w:link w:val="15"/>
    <w:qFormat/>
    <w:uiPriority w:val="0"/>
    <w:rPr>
      <w:rFonts w:ascii="Times New Roman" w:hAnsi="Times New Roman" w:eastAsia="宋体" w:cs="Times New Roman"/>
      <w:szCs w:val="24"/>
    </w:rPr>
  </w:style>
  <w:style w:type="paragraph" w:customStyle="1" w:styleId="68">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9">
    <w:name w:val="Char Char Char"/>
    <w:basedOn w:val="1"/>
    <w:qFormat/>
    <w:uiPriority w:val="0"/>
    <w:rPr>
      <w:rFonts w:ascii="宋体" w:hAnsi="宋体"/>
      <w:b/>
      <w:sz w:val="28"/>
      <w:szCs w:val="28"/>
    </w:rPr>
  </w:style>
  <w:style w:type="paragraph" w:customStyle="1" w:styleId="70">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1">
    <w:name w:val="HTML 预设格式 字符"/>
    <w:basedOn w:val="44"/>
    <w:link w:val="37"/>
    <w:qFormat/>
    <w:uiPriority w:val="0"/>
    <w:rPr>
      <w:rFonts w:ascii="Arial" w:hAnsi="Arial" w:eastAsia="宋体" w:cs="Arial"/>
      <w:kern w:val="0"/>
      <w:sz w:val="24"/>
      <w:szCs w:val="24"/>
    </w:rPr>
  </w:style>
  <w:style w:type="character" w:customStyle="1" w:styleId="72">
    <w:name w:val="称呼 字符"/>
    <w:basedOn w:val="44"/>
    <w:link w:val="16"/>
    <w:qFormat/>
    <w:uiPriority w:val="0"/>
    <w:rPr>
      <w:rFonts w:ascii="仿宋_GB2312" w:hAnsi="Times New Roman" w:eastAsia="仿宋_GB2312" w:cs="Times New Roman"/>
      <w:sz w:val="24"/>
      <w:szCs w:val="24"/>
    </w:rPr>
  </w:style>
  <w:style w:type="character" w:customStyle="1" w:styleId="73">
    <w:name w:val="正文文本 2 字符1"/>
    <w:basedOn w:val="44"/>
    <w:link w:val="36"/>
    <w:qFormat/>
    <w:uiPriority w:val="0"/>
    <w:rPr>
      <w:rFonts w:ascii="Times New Roman" w:hAnsi="Times New Roman" w:eastAsia="宋体" w:cs="Times New Roman"/>
      <w:szCs w:val="24"/>
    </w:rPr>
  </w:style>
  <w:style w:type="character" w:customStyle="1" w:styleId="74">
    <w:name w:val="正文文本缩进 2 字符1"/>
    <w:basedOn w:val="44"/>
    <w:link w:val="25"/>
    <w:qFormat/>
    <w:uiPriority w:val="0"/>
    <w:rPr>
      <w:rFonts w:ascii="Times New Roman" w:hAnsi="Times New Roman" w:eastAsia="宋体" w:cs="Times New Roman"/>
      <w:szCs w:val="24"/>
    </w:rPr>
  </w:style>
  <w:style w:type="paragraph" w:customStyle="1" w:styleId="75">
    <w:name w:val="Char"/>
    <w:basedOn w:val="1"/>
    <w:qFormat/>
    <w:uiPriority w:val="0"/>
    <w:pPr>
      <w:tabs>
        <w:tab w:val="left" w:pos="360"/>
      </w:tabs>
      <w:ind w:left="360" w:hanging="360" w:hangingChars="200"/>
    </w:pPr>
    <w:rPr>
      <w:sz w:val="24"/>
    </w:rPr>
  </w:style>
  <w:style w:type="character" w:customStyle="1" w:styleId="76">
    <w:name w:val="正文文本缩进 3 字符"/>
    <w:basedOn w:val="44"/>
    <w:link w:val="33"/>
    <w:qFormat/>
    <w:uiPriority w:val="0"/>
    <w:rPr>
      <w:rFonts w:ascii="Times New Roman" w:hAnsi="Times New Roman" w:eastAsia="宋体" w:cs="Times New Roman"/>
      <w:sz w:val="16"/>
      <w:szCs w:val="16"/>
    </w:rPr>
  </w:style>
  <w:style w:type="character" w:customStyle="1" w:styleId="77">
    <w:name w:val="日期 字符"/>
    <w:basedOn w:val="44"/>
    <w:link w:val="24"/>
    <w:qFormat/>
    <w:uiPriority w:val="0"/>
    <w:rPr>
      <w:rFonts w:ascii="Times New Roman" w:hAnsi="Times New Roman" w:eastAsia="宋体" w:cs="Times New Roman"/>
      <w:sz w:val="24"/>
      <w:szCs w:val="20"/>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字符1"/>
    <w:basedOn w:val="44"/>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字符1"/>
    <w:basedOn w:val="67"/>
    <w:link w:val="41"/>
    <w:qFormat/>
    <w:uiPriority w:val="0"/>
    <w:rPr>
      <w:rFonts w:ascii="Times New Roman" w:hAnsi="Times New Roman" w:eastAsia="宋体" w:cs="Times New Roman"/>
      <w:b/>
      <w:bCs/>
      <w:szCs w:val="24"/>
    </w:rPr>
  </w:style>
  <w:style w:type="character" w:customStyle="1" w:styleId="89">
    <w:name w:val="批注框文本 字符1"/>
    <w:basedOn w:val="44"/>
    <w:link w:val="26"/>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4"/>
    <w:qFormat/>
    <w:uiPriority w:val="0"/>
    <w:rPr>
      <w:rFonts w:hint="eastAsia" w:ascii="宋体" w:hAnsi="宋体" w:eastAsia="宋体"/>
      <w:color w:val="000000"/>
      <w:sz w:val="24"/>
      <w:szCs w:val="24"/>
    </w:rPr>
  </w:style>
  <w:style w:type="character" w:customStyle="1" w:styleId="101">
    <w:name w:val="fontstyle11"/>
    <w:basedOn w:val="44"/>
    <w:qFormat/>
    <w:uiPriority w:val="0"/>
    <w:rPr>
      <w:rFonts w:hint="default" w:ascii="TimesNewRomanPSMT" w:hAnsi="TimesNewRomanPSMT"/>
      <w:color w:val="000000"/>
      <w:sz w:val="24"/>
      <w:szCs w:val="24"/>
    </w:rPr>
  </w:style>
  <w:style w:type="paragraph" w:customStyle="1" w:styleId="102">
    <w:name w:val="TOC 标题1"/>
    <w:basedOn w:val="3"/>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4"/>
    <w:qFormat/>
    <w:uiPriority w:val="0"/>
    <w:rPr>
      <w:rFonts w:hint="eastAsia" w:ascii="宋体" w:hAnsi="宋体" w:eastAsia="宋体"/>
      <w:color w:val="993300"/>
      <w:sz w:val="24"/>
      <w:szCs w:val="24"/>
    </w:rPr>
  </w:style>
  <w:style w:type="character" w:customStyle="1" w:styleId="104">
    <w:name w:val="fontstyle31"/>
    <w:basedOn w:val="44"/>
    <w:qFormat/>
    <w:uiPriority w:val="0"/>
    <w:rPr>
      <w:rFonts w:hint="default" w:ascii="Arial" w:hAnsi="Arial" w:cs="Arial"/>
      <w:color w:val="993300"/>
      <w:sz w:val="24"/>
      <w:szCs w:val="24"/>
    </w:rPr>
  </w:style>
  <w:style w:type="character" w:customStyle="1" w:styleId="105">
    <w:name w:val="列表段落 字符"/>
    <w:link w:val="99"/>
    <w:qFormat/>
    <w:uiPriority w:val="0"/>
    <w:rPr>
      <w:rFonts w:ascii="Times New Roman" w:hAnsi="Times New Roman" w:eastAsia="宋体" w:cs="Times New Roman"/>
      <w:szCs w:val="24"/>
    </w:rPr>
  </w:style>
  <w:style w:type="character" w:customStyle="1" w:styleId="106">
    <w:name w:val="标题 字符1"/>
    <w:link w:val="40"/>
    <w:qFormat/>
    <w:uiPriority w:val="0"/>
    <w:rPr>
      <w:b/>
      <w:sz w:val="32"/>
    </w:rPr>
  </w:style>
  <w:style w:type="character" w:customStyle="1" w:styleId="107">
    <w:name w:val="标题 Char1"/>
    <w:basedOn w:val="44"/>
    <w:qFormat/>
    <w:uiPriority w:val="10"/>
    <w:rPr>
      <w:rFonts w:eastAsia="宋体" w:asciiTheme="majorHAnsi" w:hAnsiTheme="majorHAnsi" w:cstheme="majorBidi"/>
      <w:b/>
      <w:bCs/>
      <w:sz w:val="32"/>
      <w:szCs w:val="32"/>
    </w:rPr>
  </w:style>
  <w:style w:type="character" w:customStyle="1" w:styleId="108">
    <w:name w:val="样式1 Char Char"/>
    <w:link w:val="50"/>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4"/>
    <w:qFormat/>
    <w:uiPriority w:val="11"/>
    <w:rPr>
      <w:rFonts w:eastAsia="宋体" w:asciiTheme="majorHAnsi" w:hAnsiTheme="majorHAnsi" w:cstheme="majorBidi"/>
      <w:b/>
      <w:bCs/>
      <w:kern w:val="28"/>
      <w:sz w:val="32"/>
      <w:szCs w:val="32"/>
    </w:rPr>
  </w:style>
  <w:style w:type="character" w:customStyle="1" w:styleId="142">
    <w:name w:val="副标题 字符"/>
    <w:link w:val="31"/>
    <w:qFormat/>
    <w:uiPriority w:val="0"/>
    <w:rPr>
      <w:rFonts w:ascii="等线 Light" w:hAnsi="等线 Light" w:eastAsia="宋体" w:cs="Times New Roman"/>
      <w:b/>
      <w:bCs/>
      <w:kern w:val="28"/>
      <w:sz w:val="32"/>
      <w:szCs w:val="32"/>
    </w:rPr>
  </w:style>
  <w:style w:type="character" w:customStyle="1" w:styleId="143">
    <w:name w:val="未处理的提及1"/>
    <w:basedOn w:val="44"/>
    <w:unhideWhenUsed/>
    <w:qFormat/>
    <w:uiPriority w:val="99"/>
    <w:rPr>
      <w:color w:val="605E5C"/>
      <w:shd w:val="clear" w:color="auto" w:fill="E1DFDD"/>
    </w:rPr>
  </w:style>
  <w:style w:type="character" w:customStyle="1" w:styleId="144">
    <w:name w:val="未处理的提及2"/>
    <w:basedOn w:val="44"/>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4"/>
    <w:unhideWhenUsed/>
    <w:qFormat/>
    <w:uiPriority w:val="99"/>
    <w:rPr>
      <w:color w:val="605E5C"/>
      <w:shd w:val="clear" w:color="auto" w:fill="E1DFDD"/>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Heading"/>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4"/>
    <w:unhideWhenUsed/>
    <w:qFormat/>
    <w:uiPriority w:val="99"/>
    <w:rPr>
      <w:color w:val="605E5C"/>
      <w:shd w:val="clear" w:color="auto" w:fill="E1DFDD"/>
    </w:rPr>
  </w:style>
  <w:style w:type="character" w:customStyle="1" w:styleId="151">
    <w:name w:val="font11"/>
    <w:basedOn w:val="44"/>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102</Pages>
  <Words>7312</Words>
  <Characters>41684</Characters>
  <Lines>347</Lines>
  <Paragraphs>97</Paragraphs>
  <TotalTime>0</TotalTime>
  <ScaleCrop>false</ScaleCrop>
  <LinksUpToDate>false</LinksUpToDate>
  <CharactersWithSpaces>48899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DOCTOR</cp:lastModifiedBy>
  <cp:lastPrinted>2025-02-28T02:47:00Z</cp:lastPrinted>
  <dcterms:modified xsi:type="dcterms:W3CDTF">2025-03-14T00:26:38Z</dcterms:modified>
  <cp:revision>847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749374B54A7546458819C61E9DDB2F24</vt:lpwstr>
  </property>
</Properties>
</file>