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text" w:horzAnchor="page" w:tblpX="1522" w:tblpY="554"/>
        <w:tblOverlap w:val="never"/>
        <w:tblW w:w="9398" w:type="dxa"/>
        <w:tblInd w:w="0" w:type="dxa"/>
        <w:tblLayout w:type="fixed"/>
        <w:tblCellMar>
          <w:top w:w="0" w:type="dxa"/>
          <w:left w:w="108" w:type="dxa"/>
          <w:bottom w:w="0" w:type="dxa"/>
          <w:right w:w="108" w:type="dxa"/>
        </w:tblCellMar>
      </w:tblPr>
      <w:tblGrid>
        <w:gridCol w:w="653"/>
        <w:gridCol w:w="1162"/>
        <w:gridCol w:w="625"/>
        <w:gridCol w:w="863"/>
        <w:gridCol w:w="3575"/>
        <w:gridCol w:w="952"/>
        <w:gridCol w:w="1568"/>
      </w:tblGrid>
      <w:tr>
        <w:tblPrEx>
          <w:tblLayout w:type="fixed"/>
          <w:tblCellMar>
            <w:top w:w="0" w:type="dxa"/>
            <w:left w:w="108" w:type="dxa"/>
            <w:bottom w:w="0" w:type="dxa"/>
            <w:right w:w="108" w:type="dxa"/>
          </w:tblCellMar>
        </w:tblPrEx>
        <w:trPr>
          <w:trHeight w:val="600" w:hRule="atLeast"/>
        </w:trPr>
        <w:tc>
          <w:tcPr>
            <w:tcW w:w="9398" w:type="dxa"/>
            <w:gridSpan w:val="7"/>
            <w:tcBorders>
              <w:top w:val="nil"/>
              <w:left w:val="nil"/>
              <w:bottom w:val="nil"/>
              <w:right w:val="nil"/>
            </w:tcBorders>
            <w:vAlign w:val="center"/>
          </w:tcPr>
          <w:p>
            <w:pPr>
              <w:overflowPunct w:val="0"/>
              <w:spacing w:before="156" w:beforeLines="50" w:after="156" w:afterLines="50" w:line="572" w:lineRule="exact"/>
              <w:jc w:val="center"/>
              <w:rPr>
                <w:rFonts w:hint="default" w:ascii="Times New Roman" w:hAnsi="Times New Roman" w:eastAsia="宋体" w:cs="Times New Roman"/>
                <w:szCs w:val="21"/>
              </w:rPr>
            </w:pPr>
            <w:r>
              <w:rPr>
                <w:rFonts w:hint="default" w:ascii="Times New Roman" w:hAnsi="Times New Roman" w:eastAsia="宋体" w:cs="Times New Roman"/>
                <w:kern w:val="0"/>
                <w:sz w:val="44"/>
                <w:szCs w:val="44"/>
              </w:rPr>
              <w:t>采购需求表（服务类）</w:t>
            </w:r>
          </w:p>
        </w:tc>
      </w:tr>
      <w:tr>
        <w:tblPrEx>
          <w:tblLayout w:type="fixed"/>
          <w:tblCellMar>
            <w:top w:w="0" w:type="dxa"/>
            <w:left w:w="108" w:type="dxa"/>
            <w:bottom w:w="0" w:type="dxa"/>
            <w:right w:w="108" w:type="dxa"/>
          </w:tblCellMar>
        </w:tblPrEx>
        <w:trPr>
          <w:trHeight w:val="500" w:hRule="atLeast"/>
        </w:trPr>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b/>
                <w:bCs/>
                <w:kern w:val="0"/>
                <w:sz w:val="20"/>
                <w:lang w:eastAsia="zh-CN"/>
              </w:rPr>
            </w:pPr>
            <w:r>
              <w:rPr>
                <w:rFonts w:hint="default" w:ascii="Times New Roman" w:hAnsi="Times New Roman" w:eastAsia="宋体" w:cs="Times New Roman"/>
                <w:b/>
                <w:bCs/>
                <w:kern w:val="0"/>
                <w:sz w:val="20"/>
                <w:lang w:eastAsia="zh-CN"/>
              </w:rPr>
              <w:t>项目</w:t>
            </w:r>
          </w:p>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b/>
                <w:bCs/>
                <w:kern w:val="0"/>
                <w:sz w:val="20"/>
              </w:rPr>
              <w:t>编号</w:t>
            </w:r>
          </w:p>
        </w:tc>
        <w:tc>
          <w:tcPr>
            <w:tcW w:w="1787" w:type="dxa"/>
            <w:gridSpan w:val="2"/>
            <w:tcBorders>
              <w:top w:val="single" w:color="000000" w:sz="4" w:space="0"/>
              <w:left w:val="single" w:color="000000" w:sz="4" w:space="0"/>
              <w:bottom w:val="single" w:color="000000" w:sz="4" w:space="0"/>
              <w:right w:val="nil"/>
            </w:tcBorders>
            <w:vAlign w:val="center"/>
          </w:tcPr>
          <w:p>
            <w:pPr>
              <w:widowControl/>
              <w:spacing w:line="240" w:lineRule="exact"/>
              <w:jc w:val="center"/>
              <w:rPr>
                <w:rFonts w:hint="default" w:ascii="Times New Roman" w:hAnsi="Times New Roman" w:eastAsia="宋体" w:cs="Times New Roman"/>
                <w:sz w:val="20"/>
              </w:rPr>
            </w:pPr>
            <w:r>
              <w:rPr>
                <w:rFonts w:hint="default" w:ascii="Times New Roman" w:hAnsi="Times New Roman" w:eastAsia="宋体" w:cs="Times New Roman"/>
                <w:sz w:val="20"/>
              </w:rPr>
              <w:t>2024-JQ06-F5097</w:t>
            </w:r>
          </w:p>
        </w:tc>
        <w:tc>
          <w:tcPr>
            <w:tcW w:w="863"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b/>
                <w:bCs/>
                <w:kern w:val="0"/>
                <w:sz w:val="20"/>
                <w:lang w:eastAsia="zh-CN"/>
              </w:rPr>
            </w:pPr>
            <w:r>
              <w:rPr>
                <w:rFonts w:hint="default" w:ascii="Times New Roman" w:hAnsi="Times New Roman" w:eastAsia="宋体" w:cs="Times New Roman"/>
                <w:b/>
                <w:bCs/>
                <w:kern w:val="0"/>
                <w:sz w:val="20"/>
                <w:lang w:eastAsia="zh-CN"/>
              </w:rPr>
              <w:t>项目</w:t>
            </w:r>
          </w:p>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b/>
                <w:bCs/>
                <w:kern w:val="0"/>
                <w:sz w:val="20"/>
                <w:lang w:eastAsia="zh-CN"/>
              </w:rPr>
              <w:t>名称</w:t>
            </w:r>
          </w:p>
        </w:tc>
        <w:tc>
          <w:tcPr>
            <w:tcW w:w="357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default" w:ascii="Times New Roman" w:hAnsi="Times New Roman" w:eastAsia="宋体" w:cs="Times New Roman"/>
                <w:sz w:val="20"/>
              </w:rPr>
            </w:pPr>
            <w:r>
              <w:rPr>
                <w:rFonts w:hint="default" w:ascii="Times New Roman" w:hAnsi="Times New Roman" w:eastAsia="宋体" w:cs="Times New Roman"/>
                <w:sz w:val="20"/>
              </w:rPr>
              <w:t>飞利浦CT及PETCT设备配件更换维修服务</w:t>
            </w:r>
          </w:p>
        </w:tc>
        <w:tc>
          <w:tcPr>
            <w:tcW w:w="95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default" w:ascii="Times New Roman" w:hAnsi="Times New Roman" w:eastAsia="宋体" w:cs="Times New Roman"/>
                <w:b/>
                <w:bCs/>
                <w:kern w:val="0"/>
                <w:sz w:val="20"/>
                <w:lang w:eastAsia="zh-CN"/>
              </w:rPr>
            </w:pPr>
            <w:r>
              <w:rPr>
                <w:rFonts w:hint="default" w:ascii="Times New Roman" w:hAnsi="Times New Roman" w:eastAsia="宋体" w:cs="Times New Roman"/>
                <w:b/>
                <w:bCs/>
                <w:kern w:val="0"/>
                <w:sz w:val="20"/>
                <w:lang w:eastAsia="zh-CN"/>
              </w:rPr>
              <w:t>最高限价</w:t>
            </w:r>
          </w:p>
          <w:p>
            <w:pPr>
              <w:widowControl/>
              <w:spacing w:line="240" w:lineRule="exact"/>
              <w:jc w:val="center"/>
              <w:rPr>
                <w:rFonts w:hint="default" w:ascii="Times New Roman" w:hAnsi="Times New Roman" w:eastAsia="宋体" w:cs="Times New Roman"/>
                <w:sz w:val="20"/>
              </w:rPr>
            </w:pPr>
            <w:r>
              <w:rPr>
                <w:rFonts w:hint="default" w:ascii="Times New Roman" w:hAnsi="Times New Roman" w:eastAsia="宋体" w:cs="Times New Roman"/>
                <w:b/>
                <w:bCs/>
                <w:kern w:val="0"/>
                <w:sz w:val="20"/>
                <w:lang w:eastAsia="zh-CN"/>
              </w:rPr>
              <w:t>（万元）</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default" w:ascii="Times New Roman" w:hAnsi="Times New Roman" w:eastAsia="宋体" w:cs="Times New Roman"/>
                <w:sz w:val="20"/>
              </w:rPr>
            </w:pPr>
            <w:r>
              <w:rPr>
                <w:rFonts w:hint="default" w:ascii="Times New Roman" w:hAnsi="Times New Roman" w:eastAsia="宋体" w:cs="Times New Roman"/>
                <w:sz w:val="20"/>
              </w:rPr>
              <w:t>38.5877</w:t>
            </w:r>
          </w:p>
        </w:tc>
      </w:tr>
      <w:tr>
        <w:tblPrEx>
          <w:tblLayout w:type="fixed"/>
          <w:tblCellMar>
            <w:top w:w="0" w:type="dxa"/>
            <w:left w:w="108" w:type="dxa"/>
            <w:bottom w:w="0" w:type="dxa"/>
            <w:right w:w="108" w:type="dxa"/>
          </w:tblCellMar>
        </w:tblPrEx>
        <w:trPr>
          <w:trHeight w:val="500" w:hRule="atLeast"/>
        </w:trPr>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b/>
                <w:bCs/>
                <w:sz w:val="20"/>
              </w:rPr>
            </w:pPr>
            <w:r>
              <w:rPr>
                <w:rFonts w:hint="default" w:ascii="Times New Roman" w:hAnsi="Times New Roman" w:eastAsia="宋体" w:cs="Times New Roman"/>
                <w:b/>
                <w:bCs/>
                <w:kern w:val="0"/>
                <w:sz w:val="20"/>
              </w:rPr>
              <w:t>序号</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b/>
                <w:bCs/>
                <w:kern w:val="0"/>
                <w:sz w:val="20"/>
              </w:rPr>
            </w:pPr>
            <w:r>
              <w:rPr>
                <w:rFonts w:hint="default" w:ascii="Times New Roman" w:hAnsi="Times New Roman" w:eastAsia="宋体" w:cs="Times New Roman"/>
                <w:b/>
                <w:bCs/>
                <w:kern w:val="0"/>
                <w:sz w:val="20"/>
              </w:rPr>
              <w:t>需求名称</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b/>
                <w:bCs/>
                <w:kern w:val="0"/>
                <w:sz w:val="20"/>
              </w:rPr>
            </w:pPr>
            <w:r>
              <w:rPr>
                <w:rFonts w:hint="default" w:ascii="Times New Roman" w:hAnsi="Times New Roman" w:eastAsia="宋体" w:cs="Times New Roman"/>
                <w:b/>
                <w:bCs/>
                <w:kern w:val="0"/>
                <w:sz w:val="20"/>
              </w:rPr>
              <w:t>参数</w:t>
            </w:r>
          </w:p>
          <w:p>
            <w:pPr>
              <w:widowControl/>
              <w:spacing w:line="240" w:lineRule="exact"/>
              <w:jc w:val="center"/>
              <w:textAlignment w:val="center"/>
              <w:rPr>
                <w:rFonts w:hint="default" w:ascii="Times New Roman" w:hAnsi="Times New Roman" w:eastAsia="宋体" w:cs="Times New Roman"/>
                <w:b/>
                <w:bCs/>
                <w:sz w:val="20"/>
              </w:rPr>
            </w:pPr>
            <w:r>
              <w:rPr>
                <w:rFonts w:hint="default" w:ascii="Times New Roman" w:hAnsi="Times New Roman" w:eastAsia="宋体" w:cs="Times New Roman"/>
                <w:b/>
                <w:bCs/>
                <w:kern w:val="0"/>
                <w:sz w:val="20"/>
              </w:rPr>
              <w:t>性质</w:t>
            </w:r>
          </w:p>
        </w:tc>
        <w:tc>
          <w:tcPr>
            <w:tcW w:w="443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b/>
                <w:bCs/>
                <w:sz w:val="20"/>
              </w:rPr>
            </w:pPr>
            <w:r>
              <w:rPr>
                <w:rFonts w:hint="default" w:ascii="Times New Roman" w:hAnsi="Times New Roman" w:eastAsia="宋体" w:cs="Times New Roman"/>
                <w:b/>
                <w:bCs/>
                <w:kern w:val="0"/>
                <w:sz w:val="20"/>
              </w:rPr>
              <w:t>需求具体内容</w:t>
            </w:r>
          </w:p>
        </w:tc>
        <w:tc>
          <w:tcPr>
            <w:tcW w:w="952"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b/>
                <w:bCs/>
                <w:sz w:val="20"/>
              </w:rPr>
            </w:pPr>
            <w:r>
              <w:rPr>
                <w:rFonts w:hint="default" w:ascii="Times New Roman" w:hAnsi="Times New Roman" w:eastAsia="宋体" w:cs="Times New Roman"/>
                <w:b/>
                <w:bCs/>
                <w:kern w:val="0"/>
                <w:sz w:val="20"/>
              </w:rPr>
              <w:t>是否</w:t>
            </w:r>
            <w:r>
              <w:rPr>
                <w:rFonts w:hint="default" w:ascii="Times New Roman" w:hAnsi="Times New Roman" w:eastAsia="宋体" w:cs="Times New Roman"/>
                <w:b/>
                <w:bCs/>
                <w:kern w:val="0"/>
                <w:sz w:val="20"/>
              </w:rPr>
              <w:br w:type="textWrapping"/>
            </w:r>
            <w:r>
              <w:rPr>
                <w:rFonts w:hint="default" w:ascii="Times New Roman" w:hAnsi="Times New Roman" w:eastAsia="宋体" w:cs="Times New Roman"/>
                <w:b/>
                <w:bCs/>
                <w:kern w:val="0"/>
                <w:sz w:val="20"/>
              </w:rPr>
              <w:t>量化</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b/>
                <w:bCs/>
                <w:sz w:val="20"/>
              </w:rPr>
            </w:pPr>
            <w:r>
              <w:rPr>
                <w:rFonts w:hint="default" w:ascii="Times New Roman" w:hAnsi="Times New Roman" w:eastAsia="宋体" w:cs="Times New Roman"/>
                <w:b/>
                <w:bCs/>
                <w:kern w:val="0"/>
                <w:sz w:val="20"/>
              </w:rPr>
              <w:t>备注</w:t>
            </w:r>
          </w:p>
        </w:tc>
      </w:tr>
      <w:tr>
        <w:tblPrEx>
          <w:tblLayout w:type="fixed"/>
          <w:tblCellMar>
            <w:top w:w="0" w:type="dxa"/>
            <w:left w:w="108" w:type="dxa"/>
            <w:bottom w:w="0" w:type="dxa"/>
            <w:right w:w="108" w:type="dxa"/>
          </w:tblCellMar>
        </w:tblPrEx>
        <w:trPr>
          <w:trHeight w:val="90" w:hRule="atLeast"/>
        </w:trPr>
        <w:tc>
          <w:tcPr>
            <w:tcW w:w="9398" w:type="dxa"/>
            <w:gridSpan w:val="7"/>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b/>
                <w:bCs/>
                <w:kern w:val="0"/>
                <w:sz w:val="20"/>
              </w:rPr>
              <w:t>技术要求</w:t>
            </w:r>
          </w:p>
        </w:tc>
      </w:tr>
      <w:tr>
        <w:tblPrEx>
          <w:tblLayout w:type="fixed"/>
          <w:tblCellMar>
            <w:top w:w="0" w:type="dxa"/>
            <w:left w:w="108" w:type="dxa"/>
            <w:bottom w:w="0" w:type="dxa"/>
            <w:right w:w="108" w:type="dxa"/>
          </w:tblCellMar>
        </w:tblPrEx>
        <w:trPr>
          <w:trHeight w:val="500" w:hRule="atLeast"/>
        </w:trPr>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1</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基本要求</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w:t>
            </w:r>
          </w:p>
        </w:tc>
        <w:tc>
          <w:tcPr>
            <w:tcW w:w="443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提供</w:t>
            </w:r>
            <w:r>
              <w:rPr>
                <w:rFonts w:hint="default" w:ascii="Times New Roman" w:hAnsi="Times New Roman" w:eastAsia="宋体" w:cs="Times New Roman"/>
                <w:sz w:val="20"/>
              </w:rPr>
              <w:t>飞利浦CT及PETCT设备配件更换维修服务（PETCT人工服务、iCT补偿器及人工服务、iCT更换CIRS光纤、补偿器备件更换及人工服务）</w:t>
            </w:r>
          </w:p>
        </w:tc>
        <w:tc>
          <w:tcPr>
            <w:tcW w:w="95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否</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920" w:hRule="atLeast"/>
        </w:trPr>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3</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标准规范</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w:t>
            </w:r>
          </w:p>
        </w:tc>
        <w:tc>
          <w:tcPr>
            <w:tcW w:w="443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投标人具有医疗设备维修企业资格，提供经年检有效的营业执照（即经营范围内包含专用设备修理）,并在过去五年内无重大维修事故及违约发生，提供相关证明材料。</w:t>
            </w:r>
          </w:p>
        </w:tc>
        <w:tc>
          <w:tcPr>
            <w:tcW w:w="95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否</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500" w:hRule="atLeast"/>
        </w:trPr>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4</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知识产权</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w:t>
            </w:r>
          </w:p>
        </w:tc>
        <w:tc>
          <w:tcPr>
            <w:tcW w:w="443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1.服务商能合法并及时获取并提供全套完整的原厂系统软硬件改进措施即FMI。</w:t>
            </w:r>
          </w:p>
          <w:p>
            <w:pPr>
              <w:widowControl/>
              <w:spacing w:line="240" w:lineRule="exact"/>
              <w:jc w:val="left"/>
              <w:textAlignment w:val="center"/>
              <w:rPr>
                <w:rFonts w:hint="default" w:ascii="Times New Roman" w:hAnsi="Times New Roman" w:eastAsia="宋体" w:cs="Times New Roman"/>
                <w:sz w:val="20"/>
                <w:highlight w:val="yellow"/>
              </w:rPr>
            </w:pPr>
            <w:r>
              <w:rPr>
                <w:rFonts w:hint="default" w:ascii="Times New Roman" w:hAnsi="Times New Roman" w:eastAsia="宋体" w:cs="Times New Roman"/>
                <w:kern w:val="0"/>
                <w:sz w:val="20"/>
              </w:rPr>
              <w:t>2.服务商能合法获得、完整使用有效的原厂高级故障诊断维修钥匙(Service Key),以解决相应故障。</w:t>
            </w:r>
          </w:p>
        </w:tc>
        <w:tc>
          <w:tcPr>
            <w:tcW w:w="95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否</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500" w:hRule="atLeast"/>
        </w:trPr>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5</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服务保障</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w:t>
            </w:r>
          </w:p>
        </w:tc>
        <w:tc>
          <w:tcPr>
            <w:tcW w:w="443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sz w:val="20"/>
                <w:highlight w:val="yellow"/>
              </w:rPr>
            </w:pPr>
            <w:r>
              <w:rPr>
                <w:rFonts w:hint="default" w:ascii="Times New Roman" w:hAnsi="Times New Roman" w:eastAsia="宋体" w:cs="Times New Roman"/>
                <w:kern w:val="0"/>
                <w:sz w:val="20"/>
              </w:rPr>
              <w:t>服务商须具备客户服务专线电话，全年365天开通，并设有不少于5人以上专人接听或不少于3人以上备用报修电话，每天24小时开通服务时间，配有在线和远程技术支持。当所保设备出现故障时，供应商按照合同约定时间响应，及时派遣工程师进行电话指导或赴现场维修。</w:t>
            </w:r>
          </w:p>
        </w:tc>
        <w:tc>
          <w:tcPr>
            <w:tcW w:w="95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否</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500" w:hRule="atLeast"/>
        </w:trPr>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6</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备品备件</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w:t>
            </w:r>
          </w:p>
        </w:tc>
        <w:tc>
          <w:tcPr>
            <w:tcW w:w="443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sz w:val="20"/>
                <w:highlight w:val="yellow"/>
              </w:rPr>
            </w:pPr>
            <w:r>
              <w:rPr>
                <w:rFonts w:hint="default" w:ascii="Times New Roman" w:hAnsi="Times New Roman" w:eastAsia="宋体" w:cs="Times New Roman"/>
                <w:kern w:val="0"/>
                <w:sz w:val="20"/>
              </w:rPr>
              <w:t>所更换的备件必须是经原厂检验合格的零配件，满足设备运行要求，保证备件来源合理合法。备件响应时间：国内库房常规备件：≤36小时；国内无货需国外库发货：≤7天； 如遇备件全球缺货或特殊情况，双方协商供货周期。</w:t>
            </w:r>
          </w:p>
        </w:tc>
        <w:tc>
          <w:tcPr>
            <w:tcW w:w="95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否</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499" w:hRule="atLeast"/>
        </w:trPr>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7</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服务方案</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default" w:ascii="Times New Roman" w:hAnsi="Times New Roman" w:eastAsia="宋体" w:cs="Times New Roman"/>
                <w:sz w:val="20"/>
              </w:rPr>
            </w:pPr>
            <w:r>
              <w:rPr>
                <w:rFonts w:hint="default" w:ascii="Times New Roman" w:hAnsi="Times New Roman" w:eastAsia="宋体" w:cs="Times New Roman"/>
                <w:kern w:val="0"/>
                <w:sz w:val="20"/>
              </w:rPr>
              <w:t>▲</w:t>
            </w:r>
          </w:p>
        </w:tc>
        <w:tc>
          <w:tcPr>
            <w:tcW w:w="443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kern w:val="0"/>
                <w:sz w:val="20"/>
                <w:highlight w:val="yellow"/>
              </w:rPr>
            </w:pPr>
            <w:r>
              <w:rPr>
                <w:rFonts w:hint="default" w:ascii="Times New Roman" w:hAnsi="Times New Roman" w:eastAsia="宋体" w:cs="Times New Roman"/>
                <w:kern w:val="0"/>
                <w:sz w:val="20"/>
              </w:rPr>
              <w:t>由供应商提供匹配该项目的服务方案。</w:t>
            </w:r>
          </w:p>
        </w:tc>
        <w:tc>
          <w:tcPr>
            <w:tcW w:w="95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否</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500" w:hRule="atLeast"/>
        </w:trPr>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lang w:eastAsia="zh-CN"/>
              </w:rPr>
            </w:pPr>
            <w:r>
              <w:rPr>
                <w:rFonts w:hint="default" w:ascii="Times New Roman" w:hAnsi="Times New Roman" w:eastAsia="宋体" w:cs="Times New Roman"/>
                <w:kern w:val="0"/>
                <w:sz w:val="20"/>
                <w:lang w:val="en-US" w:eastAsia="zh-CN"/>
              </w:rPr>
              <w:t>8</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质量体系</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default" w:ascii="Times New Roman" w:hAnsi="Times New Roman" w:eastAsia="宋体" w:cs="Times New Roman"/>
                <w:sz w:val="20"/>
              </w:rPr>
            </w:pPr>
          </w:p>
        </w:tc>
        <w:tc>
          <w:tcPr>
            <w:tcW w:w="443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sz w:val="20"/>
                <w:highlight w:val="yellow"/>
              </w:rPr>
            </w:pPr>
            <w:r>
              <w:rPr>
                <w:rFonts w:hint="default" w:ascii="Times New Roman" w:hAnsi="Times New Roman" w:eastAsia="宋体" w:cs="Times New Roman"/>
                <w:kern w:val="0"/>
                <w:sz w:val="20"/>
              </w:rPr>
              <w:t>投标人需具有有效的质量管理体系（ISO9001或GB/T19001）认证文件。</w:t>
            </w:r>
          </w:p>
        </w:tc>
        <w:tc>
          <w:tcPr>
            <w:tcW w:w="95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否</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500" w:hRule="atLeast"/>
        </w:trPr>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lang w:eastAsia="zh-CN"/>
              </w:rPr>
            </w:pPr>
            <w:r>
              <w:rPr>
                <w:rFonts w:hint="default" w:ascii="Times New Roman" w:hAnsi="Times New Roman" w:eastAsia="宋体" w:cs="Times New Roman"/>
                <w:kern w:val="0"/>
                <w:sz w:val="20"/>
                <w:lang w:val="en-US" w:eastAsia="zh-CN"/>
              </w:rPr>
              <w:t>9</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企业实力</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w:t>
            </w:r>
          </w:p>
        </w:tc>
        <w:tc>
          <w:tcPr>
            <w:tcW w:w="443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sz w:val="20"/>
                <w:highlight w:val="yellow"/>
              </w:rPr>
            </w:pPr>
            <w:r>
              <w:rPr>
                <w:rFonts w:hint="default" w:ascii="Times New Roman" w:hAnsi="Times New Roman" w:eastAsia="宋体" w:cs="Times New Roman"/>
                <w:kern w:val="0"/>
                <w:sz w:val="20"/>
              </w:rPr>
              <w:t>投标人在北京市内设有长期稳定的服务机构≥3年。</w:t>
            </w:r>
          </w:p>
        </w:tc>
        <w:tc>
          <w:tcPr>
            <w:tcW w:w="95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否</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500" w:hRule="atLeast"/>
        </w:trPr>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eastAsia="zh-CN"/>
              </w:rPr>
            </w:pPr>
            <w:r>
              <w:rPr>
                <w:rFonts w:hint="default" w:ascii="Times New Roman" w:hAnsi="Times New Roman" w:eastAsia="宋体" w:cs="Times New Roman"/>
                <w:kern w:val="0"/>
                <w:sz w:val="20"/>
              </w:rPr>
              <w:t>1</w:t>
            </w:r>
            <w:r>
              <w:rPr>
                <w:rFonts w:hint="default" w:ascii="Times New Roman" w:hAnsi="Times New Roman" w:eastAsia="宋体" w:cs="Times New Roman"/>
                <w:kern w:val="0"/>
                <w:sz w:val="20"/>
                <w:lang w:val="en-US" w:eastAsia="zh-CN"/>
              </w:rPr>
              <w:t>0</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技术力量</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w:t>
            </w:r>
          </w:p>
        </w:tc>
        <w:tc>
          <w:tcPr>
            <w:tcW w:w="4438" w:type="dxa"/>
            <w:gridSpan w:val="2"/>
            <w:tcBorders>
              <w:top w:val="single" w:color="000000" w:sz="4" w:space="0"/>
              <w:left w:val="single" w:color="000000" w:sz="4" w:space="0"/>
              <w:bottom w:val="single" w:color="000000" w:sz="4" w:space="0"/>
              <w:right w:val="single" w:color="000000" w:sz="4" w:space="0"/>
            </w:tcBorders>
            <w:vAlign w:val="center"/>
          </w:tcPr>
          <w:p>
            <w:pPr>
              <w:widowControl/>
              <w:tabs>
                <w:tab w:val="center" w:pos="2138"/>
              </w:tabs>
              <w:spacing w:line="240" w:lineRule="exact"/>
              <w:jc w:val="left"/>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服务商在国内拥有专业的技术支持团队≥3人，提供姓名及行业培训考核合格授权资质证。具有临床应用培训专家，可以满足远程和现场临床应用培训。</w:t>
            </w:r>
          </w:p>
        </w:tc>
        <w:tc>
          <w:tcPr>
            <w:tcW w:w="95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否</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500" w:hRule="atLeast"/>
        </w:trPr>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lang w:eastAsia="zh-CN"/>
              </w:rPr>
            </w:pPr>
            <w:r>
              <w:rPr>
                <w:rFonts w:hint="default" w:ascii="Times New Roman" w:hAnsi="Times New Roman" w:eastAsia="宋体" w:cs="Times New Roman"/>
                <w:sz w:val="20"/>
              </w:rPr>
              <w:t>1</w:t>
            </w:r>
            <w:r>
              <w:rPr>
                <w:rFonts w:hint="default" w:ascii="Times New Roman" w:hAnsi="Times New Roman" w:eastAsia="宋体" w:cs="Times New Roman"/>
                <w:sz w:val="20"/>
                <w:lang w:val="en-US" w:eastAsia="zh-CN"/>
              </w:rPr>
              <w:t>1</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服务业绩</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w:t>
            </w:r>
          </w:p>
        </w:tc>
        <w:tc>
          <w:tcPr>
            <w:tcW w:w="443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sz w:val="20"/>
                <w:highlight w:val="yellow"/>
              </w:rPr>
            </w:pPr>
            <w:r>
              <w:rPr>
                <w:rFonts w:hint="default" w:ascii="Times New Roman" w:hAnsi="Times New Roman" w:eastAsia="宋体" w:cs="Times New Roman"/>
                <w:kern w:val="0"/>
                <w:sz w:val="20"/>
              </w:rPr>
              <w:t>投标人应具备在三甲医院同类型设备的维保经验≥3家，须提供三甲医院的合同。</w:t>
            </w:r>
          </w:p>
        </w:tc>
        <w:tc>
          <w:tcPr>
            <w:tcW w:w="95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否</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sz w:val="20"/>
              </w:rPr>
              <w:t>合同业绩</w:t>
            </w:r>
          </w:p>
        </w:tc>
      </w:tr>
      <w:tr>
        <w:tblPrEx>
          <w:tblLayout w:type="fixed"/>
          <w:tblCellMar>
            <w:top w:w="0" w:type="dxa"/>
            <w:left w:w="108" w:type="dxa"/>
            <w:bottom w:w="0" w:type="dxa"/>
            <w:right w:w="108" w:type="dxa"/>
          </w:tblCellMar>
        </w:tblPrEx>
        <w:trPr>
          <w:trHeight w:val="1090" w:hRule="atLeast"/>
        </w:trPr>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lang w:eastAsia="zh-CN"/>
              </w:rPr>
            </w:pPr>
            <w:r>
              <w:rPr>
                <w:rFonts w:hint="default" w:ascii="Times New Roman" w:hAnsi="Times New Roman" w:eastAsia="宋体" w:cs="Times New Roman"/>
                <w:sz w:val="20"/>
              </w:rPr>
              <w:t>1</w:t>
            </w:r>
            <w:r>
              <w:rPr>
                <w:rFonts w:hint="default" w:ascii="Times New Roman" w:hAnsi="Times New Roman" w:eastAsia="宋体" w:cs="Times New Roman"/>
                <w:sz w:val="20"/>
                <w:lang w:val="en-US" w:eastAsia="zh-CN"/>
              </w:rPr>
              <w:t>2</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验收标准方法</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w:t>
            </w:r>
          </w:p>
        </w:tc>
        <w:tc>
          <w:tcPr>
            <w:tcW w:w="443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更换完成后设备恢复正常，达到临床使用标准。</w:t>
            </w:r>
          </w:p>
        </w:tc>
        <w:tc>
          <w:tcPr>
            <w:tcW w:w="95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否</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default" w:ascii="Times New Roman" w:hAnsi="Times New Roman" w:eastAsia="宋体" w:cs="Times New Roman"/>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500" w:hRule="atLeast"/>
        </w:trPr>
        <w:tc>
          <w:tcPr>
            <w:tcW w:w="9398" w:type="dxa"/>
            <w:gridSpan w:val="7"/>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b/>
                <w:bCs/>
                <w:kern w:val="0"/>
                <w:sz w:val="20"/>
              </w:rPr>
              <w:t>经济要求</w:t>
            </w:r>
          </w:p>
        </w:tc>
      </w:tr>
      <w:tr>
        <w:tblPrEx>
          <w:tblLayout w:type="fixed"/>
          <w:tblCellMar>
            <w:top w:w="0" w:type="dxa"/>
            <w:left w:w="108" w:type="dxa"/>
            <w:bottom w:w="0" w:type="dxa"/>
            <w:right w:w="108" w:type="dxa"/>
          </w:tblCellMar>
        </w:tblPrEx>
        <w:trPr>
          <w:trHeight w:val="465" w:hRule="atLeast"/>
        </w:trPr>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sz w:val="20"/>
              </w:rPr>
              <w:t>1</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交货时间、交货地点</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w:t>
            </w:r>
          </w:p>
        </w:tc>
        <w:tc>
          <w:tcPr>
            <w:tcW w:w="443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sz w:val="20"/>
                <w:highlight w:val="yellow"/>
              </w:rPr>
            </w:pPr>
            <w:r>
              <w:rPr>
                <w:rFonts w:hint="default" w:ascii="Times New Roman" w:hAnsi="Times New Roman" w:eastAsia="宋体" w:cs="Times New Roman"/>
                <w:kern w:val="0"/>
                <w:sz w:val="20"/>
              </w:rPr>
              <w:t>合同签订后1个月内交付，交付地点由甲方指定。</w:t>
            </w:r>
          </w:p>
        </w:tc>
        <w:tc>
          <w:tcPr>
            <w:tcW w:w="95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否</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499" w:hRule="atLeast"/>
        </w:trPr>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sz w:val="20"/>
              </w:rPr>
              <w:t>2</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付款及结算方式</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w:t>
            </w:r>
          </w:p>
        </w:tc>
        <w:tc>
          <w:tcPr>
            <w:tcW w:w="443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sz w:val="20"/>
                <w:highlight w:val="yellow"/>
              </w:rPr>
            </w:pPr>
            <w:r>
              <w:rPr>
                <w:rFonts w:hint="default" w:ascii="Times New Roman" w:hAnsi="Times New Roman" w:eastAsia="宋体" w:cs="Times New Roman"/>
                <w:kern w:val="0"/>
                <w:sz w:val="20"/>
              </w:rPr>
              <w:t>服务完成验收后付100%。</w:t>
            </w:r>
          </w:p>
        </w:tc>
        <w:tc>
          <w:tcPr>
            <w:tcW w:w="95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否</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1158" w:hRule="atLeast"/>
        </w:trPr>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sz w:val="20"/>
              </w:rPr>
              <w:t>3</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售后服务1</w:t>
            </w:r>
          </w:p>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（质保）</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w:t>
            </w:r>
          </w:p>
        </w:tc>
        <w:tc>
          <w:tcPr>
            <w:tcW w:w="443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配件更换完成后质保3个月，质保期内若故障重复出现免费更换配件。</w:t>
            </w:r>
          </w:p>
        </w:tc>
        <w:tc>
          <w:tcPr>
            <w:tcW w:w="95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否</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499" w:hRule="atLeast"/>
        </w:trPr>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4</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专用工具</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w:t>
            </w:r>
          </w:p>
        </w:tc>
        <w:tc>
          <w:tcPr>
            <w:tcW w:w="443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供应商应具备此类型设备配套专业维修工具。</w:t>
            </w:r>
          </w:p>
        </w:tc>
        <w:tc>
          <w:tcPr>
            <w:tcW w:w="95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否</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500" w:hRule="atLeast"/>
        </w:trPr>
        <w:tc>
          <w:tcPr>
            <w:tcW w:w="65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sz w:val="20"/>
              </w:rPr>
              <w:t>5</w:t>
            </w:r>
          </w:p>
        </w:tc>
        <w:tc>
          <w:tcPr>
            <w:tcW w:w="116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知识产权</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w:t>
            </w:r>
          </w:p>
        </w:tc>
        <w:tc>
          <w:tcPr>
            <w:tcW w:w="443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Times New Roman" w:hAnsi="Times New Roman" w:eastAsia="宋体" w:cs="Times New Roman"/>
                <w:kern w:val="0"/>
                <w:sz w:val="20"/>
              </w:rPr>
            </w:pPr>
            <w:r>
              <w:rPr>
                <w:rFonts w:hint="default" w:ascii="Times New Roman" w:hAnsi="Times New Roman" w:eastAsia="宋体" w:cs="Times New Roman"/>
                <w:kern w:val="0"/>
                <w:sz w:val="20"/>
              </w:rPr>
              <w:t>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tc>
        <w:tc>
          <w:tcPr>
            <w:tcW w:w="95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否</w:t>
            </w:r>
          </w:p>
        </w:tc>
        <w:tc>
          <w:tcPr>
            <w:tcW w:w="156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rPr>
              <w:t>企业承诺</w:t>
            </w:r>
          </w:p>
        </w:tc>
      </w:tr>
      <w:tr>
        <w:tblPrEx>
          <w:tblLayout w:type="fixed"/>
          <w:tblCellMar>
            <w:top w:w="0" w:type="dxa"/>
            <w:left w:w="108" w:type="dxa"/>
            <w:bottom w:w="0" w:type="dxa"/>
            <w:right w:w="108" w:type="dxa"/>
          </w:tblCellMar>
        </w:tblPrEx>
        <w:trPr>
          <w:trHeight w:val="349" w:hRule="atLeast"/>
        </w:trPr>
        <w:tc>
          <w:tcPr>
            <w:tcW w:w="9398" w:type="dxa"/>
            <w:gridSpan w:val="7"/>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left"/>
              <w:rPr>
                <w:rFonts w:ascii="宋体" w:cs="宋体"/>
                <w:color w:val="000000"/>
                <w:kern w:val="0"/>
                <w:sz w:val="18"/>
                <w:szCs w:val="18"/>
              </w:rPr>
            </w:pPr>
            <w:r>
              <w:rPr>
                <w:rFonts w:hint="eastAsia" w:ascii="宋体" w:hAnsi="宋体" w:cs="宋体"/>
                <w:color w:val="000000"/>
                <w:kern w:val="0"/>
                <w:sz w:val="18"/>
                <w:szCs w:val="18"/>
              </w:rPr>
              <w:t>注：</w:t>
            </w:r>
            <w:r>
              <w:rPr>
                <w:rFonts w:ascii="宋体" w:hAnsi="宋体" w:cs="宋体"/>
                <w:color w:val="000000"/>
                <w:kern w:val="0"/>
                <w:sz w:val="18"/>
                <w:szCs w:val="18"/>
              </w:rPr>
              <w:t>1.</w:t>
            </w:r>
            <w:r>
              <w:rPr>
                <w:rFonts w:hint="eastAsia" w:ascii="宋体" w:hAnsi="宋体" w:cs="宋体"/>
                <w:color w:val="000000"/>
                <w:kern w:val="0"/>
                <w:sz w:val="18"/>
                <w:szCs w:val="18"/>
              </w:rPr>
              <w:t>★指标为必须响应指标，任意一项不满足要求即做废标处理；</w:t>
            </w:r>
          </w:p>
          <w:p>
            <w:pPr>
              <w:widowControl/>
              <w:spacing w:after="62" w:afterLines="20" w:line="300" w:lineRule="exact"/>
              <w:ind w:firstLine="360" w:firstLineChars="200"/>
              <w:jc w:val="left"/>
              <w:textAlignment w:val="center"/>
              <w:rPr>
                <w:rFonts w:hint="eastAsia" w:ascii="Times New Roman" w:hAnsi="Times New Roman" w:cs="Times New Roman" w:eastAsiaTheme="minorEastAsia"/>
                <w:sz w:val="22"/>
                <w:szCs w:val="22"/>
                <w:lang w:eastAsia="zh-CN"/>
              </w:rPr>
            </w:pPr>
            <w:r>
              <w:rPr>
                <w:rFonts w:ascii="宋体" w:hAnsi="宋体" w:cs="宋体"/>
                <w:color w:val="000000"/>
                <w:kern w:val="0"/>
                <w:sz w:val="18"/>
                <w:szCs w:val="18"/>
              </w:rPr>
              <w:t>2.</w:t>
            </w:r>
            <w:r>
              <w:rPr>
                <w:rFonts w:hint="eastAsia" w:ascii="宋体" w:hAnsi="宋体" w:cs="宋体"/>
                <w:color w:val="000000"/>
                <w:kern w:val="0"/>
                <w:sz w:val="18"/>
                <w:szCs w:val="18"/>
              </w:rPr>
              <w:t>★及▲标识的指标，需逐条按备注要求提供证明材料，未明确的可由企业提供承诺</w:t>
            </w:r>
            <w:r>
              <w:rPr>
                <w:rFonts w:hint="eastAsia" w:ascii="宋体" w:hAnsi="宋体" w:cs="宋体"/>
                <w:color w:val="000000"/>
                <w:kern w:val="0"/>
                <w:sz w:val="18"/>
                <w:szCs w:val="18"/>
                <w:lang w:eastAsia="zh-CN"/>
              </w:rPr>
              <w:t>。</w:t>
            </w:r>
            <w:bookmarkStart w:id="0" w:name="_GoBack"/>
            <w:bookmarkEnd w:id="0"/>
          </w:p>
        </w:tc>
      </w:tr>
    </w:tbl>
    <w:p/>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E47A74"/>
    <w:rsid w:val="0417711A"/>
    <w:rsid w:val="04C65E92"/>
    <w:rsid w:val="12AA1277"/>
    <w:rsid w:val="1CE47A74"/>
    <w:rsid w:val="1CF64E69"/>
    <w:rsid w:val="2255653A"/>
    <w:rsid w:val="2462459D"/>
    <w:rsid w:val="26D44EE5"/>
    <w:rsid w:val="28DD51A2"/>
    <w:rsid w:val="2BB40B25"/>
    <w:rsid w:val="2C48216D"/>
    <w:rsid w:val="2F1C2362"/>
    <w:rsid w:val="2FE225DA"/>
    <w:rsid w:val="35B464C1"/>
    <w:rsid w:val="36AC6216"/>
    <w:rsid w:val="39BA3C5B"/>
    <w:rsid w:val="4C53786C"/>
    <w:rsid w:val="4E3E36FB"/>
    <w:rsid w:val="55B92F41"/>
    <w:rsid w:val="5CC02248"/>
    <w:rsid w:val="5DF91893"/>
    <w:rsid w:val="603A6B00"/>
    <w:rsid w:val="66BE2F36"/>
    <w:rsid w:val="7B705122"/>
    <w:rsid w:val="7C2E7FEA"/>
    <w:rsid w:val="7F3110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character" w:customStyle="1" w:styleId="6">
    <w:name w:val="font31"/>
    <w:basedOn w:val="4"/>
    <w:qFormat/>
    <w:uiPriority w:val="0"/>
    <w:rPr>
      <w:rFonts w:hint="eastAsia" w:ascii="黑体" w:hAnsi="宋体" w:eastAsia="黑体" w:cs="黑体"/>
      <w:color w:val="000000"/>
      <w:sz w:val="20"/>
      <w:szCs w:val="20"/>
      <w:u w:val="none"/>
    </w:rPr>
  </w:style>
  <w:style w:type="character" w:customStyle="1" w:styleId="7">
    <w:name w:val="font11"/>
    <w:basedOn w:val="4"/>
    <w:qFormat/>
    <w:uiPriority w:val="0"/>
    <w:rPr>
      <w:rFonts w:hint="eastAsia" w:ascii="黑体" w:hAnsi="宋体" w:eastAsia="黑体" w:cs="黑体"/>
      <w:color w:val="000000"/>
      <w:sz w:val="20"/>
      <w:szCs w:val="20"/>
      <w:u w:val="none"/>
    </w:rPr>
  </w:style>
  <w:style w:type="character" w:customStyle="1" w:styleId="8">
    <w:name w:val="font61"/>
    <w:basedOn w:val="4"/>
    <w:qFormat/>
    <w:uiPriority w:val="0"/>
    <w:rPr>
      <w:rFonts w:hint="eastAsia" w:ascii="黑体" w:hAnsi="宋体" w:eastAsia="黑体" w:cs="黑体"/>
      <w:i/>
      <w:color w:val="000000"/>
      <w:sz w:val="20"/>
      <w:szCs w:val="20"/>
      <w:u w:val="none"/>
    </w:rPr>
  </w:style>
  <w:style w:type="character" w:customStyle="1" w:styleId="9">
    <w:name w:val="font101"/>
    <w:basedOn w:val="4"/>
    <w:qFormat/>
    <w:uiPriority w:val="0"/>
    <w:rPr>
      <w:rFonts w:hint="eastAsia" w:ascii="宋体" w:hAnsi="宋体" w:eastAsia="宋体" w:cs="宋体"/>
      <w:i/>
      <w:color w:val="000000"/>
      <w:sz w:val="20"/>
      <w:szCs w:val="20"/>
      <w:u w:val="none"/>
    </w:rPr>
  </w:style>
  <w:style w:type="character" w:customStyle="1" w:styleId="10">
    <w:name w:val="font51"/>
    <w:basedOn w:val="4"/>
    <w:qFormat/>
    <w:uiPriority w:val="0"/>
    <w:rPr>
      <w:rFonts w:hint="eastAsia" w:ascii="黑体" w:hAnsi="宋体" w:eastAsia="黑体" w:cs="黑体"/>
      <w:color w:val="000000"/>
      <w:sz w:val="20"/>
      <w:szCs w:val="20"/>
      <w:u w:val="none"/>
    </w:rPr>
  </w:style>
  <w:style w:type="character" w:customStyle="1" w:styleId="11">
    <w:name w:val="font112"/>
    <w:basedOn w:val="4"/>
    <w:qFormat/>
    <w:uiPriority w:val="0"/>
    <w:rPr>
      <w:rFonts w:hint="eastAsia" w:ascii="黑体" w:hAnsi="宋体" w:eastAsia="黑体" w:cs="黑体"/>
      <w:i/>
      <w:color w:val="000000"/>
      <w:sz w:val="20"/>
      <w:szCs w:val="20"/>
      <w:u w:val="none"/>
    </w:rPr>
  </w:style>
  <w:style w:type="character" w:customStyle="1" w:styleId="12">
    <w:name w:val="font131"/>
    <w:basedOn w:val="4"/>
    <w:qFormat/>
    <w:uiPriority w:val="0"/>
    <w:rPr>
      <w:rFonts w:hint="eastAsia" w:ascii="黑体" w:hAnsi="宋体" w:eastAsia="黑体" w:cs="黑体"/>
      <w:i/>
      <w:color w:val="FF0000"/>
      <w:sz w:val="20"/>
      <w:szCs w:val="20"/>
      <w:u w:val="none"/>
    </w:rPr>
  </w:style>
  <w:style w:type="character" w:customStyle="1" w:styleId="13">
    <w:name w:val="font91"/>
    <w:basedOn w:val="4"/>
    <w:qFormat/>
    <w:uiPriority w:val="0"/>
    <w:rPr>
      <w:rFonts w:ascii="Wingdings" w:hAnsi="Wingdings" w:cs="Wingdings"/>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2025-02-20T02:59:00Z</dcterms:created>
  <dc:creator>DOCTOR</dc:creator>
  <cp:lastModifiedBy>DOCTOR</cp:lastModifiedBy>
  <dcterms:modified xsi:type="dcterms:W3CDTF">2025-02-25T02:10:27Z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