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1522" w:tblpY="554"/>
        <w:tblOverlap w:val="never"/>
        <w:tblW w:w="9060" w:type="dxa"/>
        <w:tblInd w:w="0" w:type="dxa"/>
        <w:tblLayout w:type="fixed"/>
        <w:tblCellMar>
          <w:top w:w="0" w:type="dxa"/>
          <w:left w:w="108" w:type="dxa"/>
          <w:bottom w:w="0" w:type="dxa"/>
          <w:right w:w="108" w:type="dxa"/>
        </w:tblCellMar>
      </w:tblPr>
      <w:tblGrid>
        <w:gridCol w:w="703"/>
        <w:gridCol w:w="1187"/>
        <w:gridCol w:w="720"/>
        <w:gridCol w:w="75"/>
        <w:gridCol w:w="1095"/>
        <w:gridCol w:w="3323"/>
        <w:gridCol w:w="727"/>
        <w:gridCol w:w="360"/>
        <w:gridCol w:w="870"/>
      </w:tblGrid>
      <w:tr>
        <w:tblPrEx>
          <w:tblLayout w:type="fixed"/>
          <w:tblCellMar>
            <w:top w:w="0" w:type="dxa"/>
            <w:left w:w="108" w:type="dxa"/>
            <w:bottom w:w="0" w:type="dxa"/>
            <w:right w:w="108" w:type="dxa"/>
          </w:tblCellMar>
        </w:tblPrEx>
        <w:trPr>
          <w:trHeight w:val="685" w:hRule="atLeast"/>
        </w:trPr>
        <w:tc>
          <w:tcPr>
            <w:tcW w:w="9060" w:type="dxa"/>
            <w:gridSpan w:val="9"/>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szCs w:val="21"/>
              </w:rPr>
            </w:pPr>
            <w:r>
              <w:rPr>
                <w:rFonts w:hint="default" w:ascii="Times New Roman" w:hAnsi="Times New Roman" w:eastAsia="宋体" w:cs="Times New Roman"/>
                <w:kern w:val="0"/>
                <w:sz w:val="44"/>
                <w:szCs w:val="44"/>
              </w:rPr>
              <w:t>采购需求表（服务类）</w:t>
            </w:r>
          </w:p>
        </w:tc>
      </w:tr>
      <w:tr>
        <w:tblPrEx>
          <w:tblLayout w:type="fixed"/>
          <w:tblCellMar>
            <w:top w:w="0" w:type="dxa"/>
            <w:left w:w="108" w:type="dxa"/>
            <w:bottom w:w="0" w:type="dxa"/>
            <w:right w:w="108" w:type="dxa"/>
          </w:tblCellMar>
        </w:tblPrEx>
        <w:trPr>
          <w:trHeight w:val="363"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lang w:eastAsia="zh-CN"/>
              </w:rPr>
            </w:pPr>
            <w:r>
              <w:rPr>
                <w:rFonts w:hint="default" w:ascii="Times New Roman" w:hAnsi="Times New Roman" w:eastAsia="宋体" w:cs="Times New Roman"/>
                <w:b/>
                <w:bCs/>
                <w:kern w:val="0"/>
                <w:sz w:val="20"/>
                <w:lang w:eastAsia="zh-CN"/>
              </w:rPr>
              <w:t>项目</w:t>
            </w:r>
          </w:p>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rPr>
              <w:t>编号</w:t>
            </w:r>
          </w:p>
        </w:tc>
        <w:tc>
          <w:tcPr>
            <w:tcW w:w="1982"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18"/>
                <w:szCs w:val="18"/>
              </w:rPr>
              <w:t>2024-JQ06-F5098</w:t>
            </w: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项目</w:t>
            </w:r>
          </w:p>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rPr>
              <w:t>名称</w:t>
            </w:r>
          </w:p>
        </w:tc>
        <w:tc>
          <w:tcPr>
            <w:tcW w:w="33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24"/>
                <w:szCs w:val="24"/>
              </w:rPr>
              <w:t>GE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C型臂球管及备件更换</w:t>
            </w:r>
          </w:p>
        </w:tc>
        <w:tc>
          <w:tcPr>
            <w:tcW w:w="108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最高限价</w:t>
            </w:r>
          </w:p>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b/>
                <w:bCs/>
                <w:kern w:val="0"/>
                <w:sz w:val="20"/>
              </w:rPr>
              <w:t>（万元）</w:t>
            </w:r>
          </w:p>
        </w:tc>
        <w:tc>
          <w:tcPr>
            <w:tcW w:w="87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37.4161</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序号</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参数</w:t>
            </w:r>
          </w:p>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性质</w:t>
            </w:r>
          </w:p>
        </w:tc>
        <w:tc>
          <w:tcPr>
            <w:tcW w:w="441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是否</w:t>
            </w:r>
            <w:r>
              <w:rPr>
                <w:rFonts w:hint="default" w:ascii="Times New Roman" w:hAnsi="Times New Roman" w:eastAsia="宋体" w:cs="Times New Roman"/>
                <w:b/>
                <w:bCs/>
                <w:kern w:val="0"/>
                <w:sz w:val="20"/>
              </w:rPr>
              <w:br w:type="textWrapping"/>
            </w:r>
            <w:r>
              <w:rPr>
                <w:rFonts w:hint="default" w:ascii="Times New Roman" w:hAnsi="Times New Roman" w:eastAsia="宋体" w:cs="Times New Roman"/>
                <w:b/>
                <w:bCs/>
                <w:kern w:val="0"/>
                <w:sz w:val="20"/>
              </w:rPr>
              <w:t>量化</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备注</w:t>
            </w:r>
          </w:p>
        </w:tc>
      </w:tr>
      <w:tr>
        <w:tblPrEx>
          <w:tblLayout w:type="fixed"/>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b/>
                <w:bCs/>
                <w:kern w:val="0"/>
                <w:sz w:val="20"/>
              </w:rPr>
              <w:t>技术要求</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1</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i/>
                <w:iCs/>
                <w:sz w:val="20"/>
              </w:rPr>
            </w:pPr>
            <w:r>
              <w:rPr>
                <w:rFonts w:hint="default" w:ascii="Times New Roman" w:hAnsi="Times New Roman" w:eastAsia="宋体" w:cs="Times New Roman"/>
                <w:kern w:val="0"/>
                <w:sz w:val="20"/>
              </w:rPr>
              <w:t>提供GE C型臂OEC7900设备球管及备件电源控制板1个；提供维修更换服务，保障设备正常运行</w:t>
            </w:r>
            <w:r>
              <w:rPr>
                <w:rFonts w:hint="default" w:ascii="Times New Roman" w:hAnsi="Times New Roman" w:eastAsia="宋体" w:cs="Times New Roman"/>
                <w:i/>
                <w:iCs/>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i/>
                <w:iCs/>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92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2</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投标人是原厂或原厂合法授权代理商，并提供相关证明材料。</w:t>
            </w:r>
          </w:p>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服务提供商具有医疗设备维修企业资格。提供经年检有效的营业执照。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3</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技术指标1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原厂或其授权代理商需配备全职专业设备维修工程师≥4名，并提供经原厂认证的有效期内资质证明文件。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4</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技术指标2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原厂或其授权代理商须具备客户服务专线电话，全年365天开通，并设有不少于5人以上专人接听或不少于3人以上备用报修电话，每天24小时开通服务时间，配有在线和远程技术支持。当该设备出现故障时，供应商按照合同约定时间响应，及时派遣工程师进行电话指导或赴现场维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5</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技术指标5</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原厂或原厂合法授权代理商具有有效的质量管理体系（ISO9001或GB/T19001）、环境管理体系（ISO14001或GB/T24001）、职业健康安全管理体系（OHSAS18001或GB/T28001）认证文件。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6</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配置名称1</w:t>
            </w:r>
            <w:r>
              <w:rPr>
                <w:rFonts w:hint="default" w:ascii="Times New Roman" w:hAnsi="Times New Roman" w:eastAsia="宋体" w:cs="Times New Roman"/>
                <w:kern w:val="0"/>
                <w:sz w:val="20"/>
              </w:rPr>
              <w:br w:type="textWrapping"/>
            </w:r>
            <w:r>
              <w:rPr>
                <w:rFonts w:hint="default" w:ascii="Times New Roman" w:hAnsi="Times New Roman" w:eastAsia="宋体" w:cs="Times New Roman"/>
                <w:kern w:val="0"/>
                <w:sz w:val="20"/>
              </w:rPr>
              <w:t>（服务点位）</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投标人在北京市内设有长期稳定的服务机构≥2年。</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7</w:t>
            </w:r>
          </w:p>
        </w:tc>
        <w:tc>
          <w:tcPr>
            <w:tcW w:w="1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left="-63" w:leftChars="-30" w:right="-63" w:rightChars="-30"/>
              <w:jc w:val="center"/>
              <w:rPr>
                <w:rFonts w:hint="default" w:ascii="Times New Roman" w:hAnsi="Times New Roman" w:eastAsia="宋体" w:cs="Times New Roman"/>
                <w:sz w:val="20"/>
              </w:rPr>
            </w:pPr>
            <w:r>
              <w:rPr>
                <w:rFonts w:hint="default" w:ascii="Times New Roman" w:hAnsi="Times New Roman" w:eastAsia="宋体" w:cs="Times New Roman"/>
                <w:sz w:val="20"/>
              </w:rPr>
              <w:t>配置名称2</w:t>
            </w:r>
          </w:p>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OEC7900球管1支、电源控制板1个。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8</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综合实力1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原厂或其授权代理商所更换的备件必须是经检验合格的原厂全新球管及配件，满足设备运行要求，不会给设备带来危害。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szCs w:val="22"/>
              </w:rPr>
            </w:pPr>
            <w:r>
              <w:rPr>
                <w:rFonts w:hint="default" w:ascii="Times New Roman" w:hAnsi="Times New Roman" w:eastAsia="宋体" w:cs="Times New Roman"/>
                <w:sz w:val="20"/>
                <w:szCs w:val="22"/>
              </w:rPr>
              <w:t>9</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szCs w:val="22"/>
              </w:rPr>
            </w:pPr>
            <w:r>
              <w:rPr>
                <w:rFonts w:hint="default" w:ascii="Times New Roman" w:hAnsi="Times New Roman" w:eastAsia="宋体" w:cs="Times New Roman"/>
                <w:sz w:val="20"/>
                <w:szCs w:val="22"/>
              </w:rPr>
              <w:t>综合实力2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szCs w:val="22"/>
              </w:rPr>
            </w:pPr>
            <w:r>
              <w:rPr>
                <w:rFonts w:hint="default" w:ascii="Times New Roman" w:hAnsi="Times New Roman" w:eastAsia="宋体" w:cs="Times New Roman"/>
                <w:kern w:val="0"/>
                <w:sz w:val="20"/>
                <w:szCs w:val="22"/>
              </w:rPr>
              <w:t>原厂或其授权代理商在国内设有专业的设备零备件仓库，仓库总面积须≥200平方米。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1090"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10</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验收标准方法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szCs w:val="22"/>
              </w:rPr>
            </w:pPr>
            <w:r>
              <w:rPr>
                <w:rFonts w:hint="default" w:ascii="Times New Roman" w:hAnsi="Times New Roman" w:eastAsia="宋体" w:cs="Times New Roman"/>
                <w:kern w:val="0"/>
                <w:sz w:val="20"/>
                <w:szCs w:val="22"/>
              </w:rPr>
              <w:t>更换球管等配件安装完成后设备运行稳定, 经医学工程科出具维修记录单确认验收合格。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b/>
                <w:bCs/>
                <w:kern w:val="0"/>
                <w:sz w:val="20"/>
              </w:rPr>
              <w:t>经济要求</w:t>
            </w:r>
          </w:p>
        </w:tc>
      </w:tr>
      <w:tr>
        <w:tblPrEx>
          <w:tblLayout w:type="fixed"/>
          <w:tblCellMar>
            <w:top w:w="0" w:type="dxa"/>
            <w:left w:w="108" w:type="dxa"/>
            <w:bottom w:w="0" w:type="dxa"/>
            <w:right w:w="108" w:type="dxa"/>
          </w:tblCellMar>
        </w:tblPrEx>
        <w:trPr>
          <w:trHeight w:val="465"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1</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1.服务时间：签订合同后一个月内交付；</w:t>
            </w:r>
          </w:p>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2,服务地点：甲方拟定交付地点。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2</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签订合同付（预付）0%，服务完成验收后付100%。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54"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3</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售后服务1</w:t>
            </w:r>
          </w:p>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球管自安装之日起1个月全保或12个月比例保。其他备件质保期不少于3个月。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4</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售后服务2</w:t>
            </w:r>
          </w:p>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保响应时间：≤2小时；工程师现场响应时间≤48小时。更换的配件到货安装时间如下：国内库房常规备件：≤36小时；国内无货需国外库发货：≤7天；如遇备件全球缺货或特殊情况，双方协商供货周期。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70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5</w:t>
            </w:r>
          </w:p>
        </w:tc>
        <w:tc>
          <w:tcPr>
            <w:tcW w:w="118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专用工具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原厂或其授权代理商须具有经校正的维修、保养设备的专业维修工具、仪器。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9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left"/>
              <w:rPr>
                <w:rFonts w:ascii="宋体" w:cs="宋体"/>
                <w:color w:val="000000"/>
                <w:kern w:val="0"/>
                <w:sz w:val="18"/>
                <w:szCs w:val="18"/>
              </w:rPr>
            </w:pPr>
            <w:r>
              <w:rPr>
                <w:rFonts w:hint="eastAsia" w:ascii="宋体" w:hAnsi="宋体" w:cs="宋体"/>
                <w:color w:val="000000"/>
                <w:kern w:val="0"/>
                <w:sz w:val="18"/>
                <w:szCs w:val="18"/>
              </w:rPr>
              <w:t>注：</w:t>
            </w:r>
            <w:r>
              <w:rPr>
                <w:rFonts w:ascii="宋体" w:hAnsi="宋体" w:cs="宋体"/>
                <w:color w:val="000000"/>
                <w:kern w:val="0"/>
                <w:sz w:val="18"/>
                <w:szCs w:val="18"/>
              </w:rPr>
              <w:t>1.</w:t>
            </w:r>
            <w:r>
              <w:rPr>
                <w:rFonts w:hint="eastAsia" w:ascii="宋体" w:hAnsi="宋体" w:cs="宋体"/>
                <w:color w:val="000000"/>
                <w:kern w:val="0"/>
                <w:sz w:val="18"/>
                <w:szCs w:val="18"/>
              </w:rPr>
              <w:t>★指标为必须响应指标，任意一项不满足要求即做废标处理；</w:t>
            </w:r>
          </w:p>
          <w:p>
            <w:pPr>
              <w:widowControl/>
              <w:spacing w:after="62" w:afterLines="20" w:line="300" w:lineRule="exact"/>
              <w:ind w:left="420" w:leftChars="200"/>
              <w:jc w:val="left"/>
              <w:textAlignment w:val="center"/>
              <w:rPr>
                <w:rFonts w:hint="eastAsia" w:ascii="Times New Roman" w:hAnsi="Times New Roman" w:cs="Times New Roman" w:eastAsiaTheme="minorEastAsia"/>
                <w:sz w:val="22"/>
                <w:szCs w:val="22"/>
                <w:lang w:eastAsia="zh-CN"/>
              </w:rPr>
            </w:pPr>
            <w:r>
              <w:rPr>
                <w:rFonts w:ascii="宋体" w:hAnsi="宋体" w:cs="宋体"/>
                <w:color w:val="000000"/>
                <w:kern w:val="0"/>
                <w:sz w:val="18"/>
                <w:szCs w:val="18"/>
              </w:rPr>
              <w:t>2.</w:t>
            </w:r>
            <w:r>
              <w:rPr>
                <w:rFonts w:hint="eastAsia" w:ascii="宋体" w:hAnsi="宋体" w:cs="宋体"/>
                <w:color w:val="000000"/>
                <w:kern w:val="0"/>
                <w:sz w:val="18"/>
                <w:szCs w:val="18"/>
              </w:rPr>
              <w:t>★及▲标识的指标，需逐条按备注要求提供证明材料，未明确的可由企业提供承诺</w:t>
            </w:r>
            <w:r>
              <w:rPr>
                <w:rFonts w:hint="eastAsia" w:ascii="宋体" w:hAnsi="宋体" w:cs="宋体"/>
                <w:color w:val="000000"/>
                <w:kern w:val="0"/>
                <w:sz w:val="18"/>
                <w:szCs w:val="18"/>
                <w:lang w:eastAsia="zh-CN"/>
              </w:rPr>
              <w:t>。</w:t>
            </w:r>
            <w:bookmarkStart w:id="0" w:name="_GoBack"/>
            <w:bookmarkEnd w:id="0"/>
          </w:p>
        </w:tc>
      </w:tr>
    </w:tbl>
    <w:p>
      <w:pPr>
        <w:pStyle w:val="5"/>
      </w:pPr>
    </w:p>
    <w:p>
      <w:pPr>
        <w:pStyle w:val="5"/>
      </w:pPr>
    </w:p>
    <w:p>
      <w:pPr>
        <w:pStyle w:val="5"/>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4C65E92"/>
    <w:rsid w:val="12AA1277"/>
    <w:rsid w:val="168B233E"/>
    <w:rsid w:val="1ABA0279"/>
    <w:rsid w:val="1CE47A74"/>
    <w:rsid w:val="1CF64E69"/>
    <w:rsid w:val="2255653A"/>
    <w:rsid w:val="2462459D"/>
    <w:rsid w:val="255178E4"/>
    <w:rsid w:val="26D44EE5"/>
    <w:rsid w:val="28DD51A2"/>
    <w:rsid w:val="2BB40B25"/>
    <w:rsid w:val="2C48216D"/>
    <w:rsid w:val="2D5C64E5"/>
    <w:rsid w:val="2F1C2362"/>
    <w:rsid w:val="2FE225DA"/>
    <w:rsid w:val="30AE133C"/>
    <w:rsid w:val="354C3B38"/>
    <w:rsid w:val="35B464C1"/>
    <w:rsid w:val="36AC6216"/>
    <w:rsid w:val="3A152EAA"/>
    <w:rsid w:val="44752599"/>
    <w:rsid w:val="4E3E36FB"/>
    <w:rsid w:val="55B92F41"/>
    <w:rsid w:val="5CC02248"/>
    <w:rsid w:val="5DF91893"/>
    <w:rsid w:val="66BE2F36"/>
    <w:rsid w:val="7B705122"/>
    <w:rsid w:val="7C2E7FEA"/>
    <w:rsid w:val="7F31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6">
    <w:name w:val="font31"/>
    <w:basedOn w:val="4"/>
    <w:qFormat/>
    <w:uiPriority w:val="0"/>
    <w:rPr>
      <w:rFonts w:hint="eastAsia" w:ascii="黑体" w:hAnsi="宋体" w:eastAsia="黑体" w:cs="黑体"/>
      <w:color w:val="000000"/>
      <w:sz w:val="20"/>
      <w:szCs w:val="20"/>
      <w:u w:val="none"/>
    </w:rPr>
  </w:style>
  <w:style w:type="character" w:customStyle="1" w:styleId="7">
    <w:name w:val="font11"/>
    <w:basedOn w:val="4"/>
    <w:qFormat/>
    <w:uiPriority w:val="0"/>
    <w:rPr>
      <w:rFonts w:hint="eastAsia" w:ascii="黑体" w:hAnsi="宋体" w:eastAsia="黑体" w:cs="黑体"/>
      <w:color w:val="000000"/>
      <w:sz w:val="20"/>
      <w:szCs w:val="20"/>
      <w:u w:val="none"/>
    </w:rPr>
  </w:style>
  <w:style w:type="character" w:customStyle="1" w:styleId="8">
    <w:name w:val="font61"/>
    <w:basedOn w:val="4"/>
    <w:qFormat/>
    <w:uiPriority w:val="0"/>
    <w:rPr>
      <w:rFonts w:hint="eastAsia" w:ascii="黑体" w:hAnsi="宋体" w:eastAsia="黑体" w:cs="黑体"/>
      <w:i/>
      <w:color w:val="000000"/>
      <w:sz w:val="20"/>
      <w:szCs w:val="20"/>
      <w:u w:val="none"/>
    </w:rPr>
  </w:style>
  <w:style w:type="character" w:customStyle="1" w:styleId="9">
    <w:name w:val="font101"/>
    <w:basedOn w:val="4"/>
    <w:qFormat/>
    <w:uiPriority w:val="0"/>
    <w:rPr>
      <w:rFonts w:hint="eastAsia" w:ascii="宋体" w:hAnsi="宋体" w:eastAsia="宋体" w:cs="宋体"/>
      <w:i/>
      <w:color w:val="000000"/>
      <w:sz w:val="20"/>
      <w:szCs w:val="20"/>
      <w:u w:val="none"/>
    </w:rPr>
  </w:style>
  <w:style w:type="character" w:customStyle="1" w:styleId="10">
    <w:name w:val="font51"/>
    <w:basedOn w:val="4"/>
    <w:qFormat/>
    <w:uiPriority w:val="0"/>
    <w:rPr>
      <w:rFonts w:hint="eastAsia" w:ascii="黑体" w:hAnsi="宋体" w:eastAsia="黑体" w:cs="黑体"/>
      <w:color w:val="000000"/>
      <w:sz w:val="20"/>
      <w:szCs w:val="20"/>
      <w:u w:val="none"/>
    </w:rPr>
  </w:style>
  <w:style w:type="character" w:customStyle="1" w:styleId="11">
    <w:name w:val="font112"/>
    <w:basedOn w:val="4"/>
    <w:qFormat/>
    <w:uiPriority w:val="0"/>
    <w:rPr>
      <w:rFonts w:hint="eastAsia" w:ascii="黑体" w:hAnsi="宋体" w:eastAsia="黑体" w:cs="黑体"/>
      <w:i/>
      <w:color w:val="000000"/>
      <w:sz w:val="20"/>
      <w:szCs w:val="20"/>
      <w:u w:val="none"/>
    </w:rPr>
  </w:style>
  <w:style w:type="character" w:customStyle="1" w:styleId="12">
    <w:name w:val="font131"/>
    <w:basedOn w:val="4"/>
    <w:qFormat/>
    <w:uiPriority w:val="0"/>
    <w:rPr>
      <w:rFonts w:hint="eastAsia" w:ascii="黑体" w:hAnsi="宋体" w:eastAsia="黑体" w:cs="黑体"/>
      <w:i/>
      <w:color w:val="FF0000"/>
      <w:sz w:val="20"/>
      <w:szCs w:val="20"/>
      <w:u w:val="none"/>
    </w:rPr>
  </w:style>
  <w:style w:type="character" w:customStyle="1" w:styleId="13">
    <w:name w:val="font91"/>
    <w:basedOn w:val="4"/>
    <w:qFormat/>
    <w:uiPriority w:val="0"/>
    <w:rPr>
      <w:rFonts w:ascii="Wingdings" w:hAnsi="Wingdings" w:cs="Wingdings"/>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