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text" w:horzAnchor="page" w:tblpX="1522" w:tblpY="554"/>
        <w:tblOverlap w:val="never"/>
        <w:tblW w:w="9060" w:type="dxa"/>
        <w:tblInd w:w="0" w:type="dxa"/>
        <w:tblLayout w:type="fixed"/>
        <w:tblCellMar>
          <w:top w:w="0" w:type="dxa"/>
          <w:left w:w="108" w:type="dxa"/>
          <w:bottom w:w="0" w:type="dxa"/>
          <w:right w:w="108" w:type="dxa"/>
        </w:tblCellMar>
      </w:tblPr>
      <w:tblGrid>
        <w:gridCol w:w="740"/>
        <w:gridCol w:w="1150"/>
        <w:gridCol w:w="720"/>
        <w:gridCol w:w="75"/>
        <w:gridCol w:w="1095"/>
        <w:gridCol w:w="2115"/>
        <w:gridCol w:w="1208"/>
        <w:gridCol w:w="727"/>
        <w:gridCol w:w="1230"/>
      </w:tblGrid>
      <w:tr>
        <w:tblPrEx>
          <w:tblLayout w:type="fixed"/>
          <w:tblCellMar>
            <w:top w:w="0" w:type="dxa"/>
            <w:left w:w="108" w:type="dxa"/>
            <w:bottom w:w="0" w:type="dxa"/>
            <w:right w:w="108" w:type="dxa"/>
          </w:tblCellMar>
        </w:tblPrEx>
        <w:trPr>
          <w:trHeight w:val="600" w:hRule="atLeast"/>
        </w:trPr>
        <w:tc>
          <w:tcPr>
            <w:tcW w:w="9060" w:type="dxa"/>
            <w:gridSpan w:val="9"/>
            <w:tcBorders>
              <w:top w:val="nil"/>
              <w:left w:val="nil"/>
              <w:bottom w:val="nil"/>
              <w:right w:val="nil"/>
            </w:tcBorders>
            <w:vAlign w:val="center"/>
          </w:tcPr>
          <w:p>
            <w:pPr>
              <w:widowControl/>
              <w:spacing w:line="360" w:lineRule="exact"/>
              <w:jc w:val="center"/>
              <w:textAlignment w:val="center"/>
              <w:rPr>
                <w:rFonts w:hint="eastAsia" w:asciiTheme="minorEastAsia" w:hAnsiTheme="minorEastAsia" w:eastAsiaTheme="minorEastAsia" w:cstheme="minorEastAsia"/>
                <w:szCs w:val="21"/>
                <w:lang w:eastAsia="zh-CN"/>
              </w:rPr>
            </w:pPr>
            <w:r>
              <w:rPr>
                <w:rFonts w:hint="eastAsia" w:asciiTheme="minorEastAsia" w:hAnsiTheme="minorEastAsia" w:cstheme="minorEastAsia"/>
                <w:b/>
                <w:bCs/>
                <w:kern w:val="0"/>
                <w:sz w:val="36"/>
                <w:szCs w:val="36"/>
                <w:lang w:eastAsia="zh-CN"/>
              </w:rPr>
              <w:t>采购需求表</w:t>
            </w:r>
          </w:p>
        </w:tc>
      </w:tr>
      <w:tr>
        <w:tblPrEx>
          <w:tblLayout w:type="fixed"/>
          <w:tblCellMar>
            <w:top w:w="0" w:type="dxa"/>
            <w:left w:w="108" w:type="dxa"/>
            <w:bottom w:w="0" w:type="dxa"/>
            <w:right w:w="108" w:type="dxa"/>
          </w:tblCellMar>
        </w:tblPrEx>
        <w:trPr>
          <w:trHeight w:val="500" w:hRule="atLeast"/>
        </w:trPr>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b/>
                <w:bCs/>
                <w:kern w:val="0"/>
                <w:sz w:val="20"/>
              </w:rPr>
            </w:pPr>
            <w:r>
              <w:rPr>
                <w:rFonts w:hint="eastAsia" w:asciiTheme="minorEastAsia" w:hAnsiTheme="minorEastAsia" w:eastAsiaTheme="minorEastAsia" w:cstheme="minorEastAsia"/>
                <w:b/>
                <w:bCs/>
                <w:kern w:val="0"/>
                <w:sz w:val="20"/>
              </w:rPr>
              <w:t>项目</w:t>
            </w:r>
          </w:p>
          <w:p>
            <w:pPr>
              <w:widowControl/>
              <w:spacing w:line="240" w:lineRule="exact"/>
              <w:jc w:val="center"/>
              <w:textAlignment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b/>
                <w:bCs/>
                <w:kern w:val="0"/>
                <w:sz w:val="20"/>
              </w:rPr>
              <w:t>编号</w:t>
            </w:r>
          </w:p>
        </w:tc>
        <w:tc>
          <w:tcPr>
            <w:tcW w:w="1945" w:type="dxa"/>
            <w:gridSpan w:val="3"/>
            <w:tcBorders>
              <w:top w:val="single" w:color="000000" w:sz="4" w:space="0"/>
              <w:left w:val="single" w:color="000000" w:sz="4" w:space="0"/>
              <w:bottom w:val="single" w:color="000000" w:sz="4" w:space="0"/>
              <w:right w:val="nil"/>
            </w:tcBorders>
            <w:vAlign w:val="center"/>
          </w:tcPr>
          <w:p>
            <w:pPr>
              <w:widowControl/>
              <w:spacing w:line="240" w:lineRule="exact"/>
              <w:jc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18"/>
                <w:szCs w:val="18"/>
              </w:rPr>
              <w:t>2024-JQ06-F5099</w:t>
            </w:r>
          </w:p>
        </w:tc>
        <w:tc>
          <w:tcPr>
            <w:tcW w:w="1095"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b/>
                <w:bCs/>
                <w:kern w:val="0"/>
                <w:sz w:val="20"/>
              </w:rPr>
            </w:pPr>
            <w:r>
              <w:rPr>
                <w:rFonts w:hint="eastAsia" w:asciiTheme="minorEastAsia" w:hAnsiTheme="minorEastAsia" w:eastAsiaTheme="minorEastAsia" w:cstheme="minorEastAsia"/>
                <w:b/>
                <w:bCs/>
                <w:kern w:val="0"/>
                <w:sz w:val="20"/>
              </w:rPr>
              <w:t>项目</w:t>
            </w:r>
          </w:p>
          <w:p>
            <w:pPr>
              <w:widowControl/>
              <w:spacing w:line="240" w:lineRule="exact"/>
              <w:jc w:val="center"/>
              <w:textAlignment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b/>
                <w:bCs/>
                <w:kern w:val="0"/>
                <w:sz w:val="20"/>
              </w:rPr>
              <w:t>名称</w:t>
            </w:r>
          </w:p>
        </w:tc>
        <w:tc>
          <w:tcPr>
            <w:tcW w:w="211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18"/>
                <w:szCs w:val="18"/>
              </w:rPr>
              <w:t>GE CT及DR设备备件更换维修服务</w:t>
            </w:r>
          </w:p>
        </w:tc>
        <w:tc>
          <w:tcPr>
            <w:tcW w:w="12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b/>
                <w:bCs/>
                <w:kern w:val="0"/>
                <w:sz w:val="20"/>
              </w:rPr>
              <w:t>最高限价（万元）</w:t>
            </w:r>
          </w:p>
        </w:tc>
        <w:tc>
          <w:tcPr>
            <w:tcW w:w="195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18"/>
                <w:szCs w:val="18"/>
              </w:rPr>
              <w:t>35.78484</w:t>
            </w:r>
          </w:p>
        </w:tc>
      </w:tr>
      <w:tr>
        <w:tblPrEx>
          <w:tblLayout w:type="fixed"/>
          <w:tblCellMar>
            <w:top w:w="0" w:type="dxa"/>
            <w:left w:w="108" w:type="dxa"/>
            <w:bottom w:w="0" w:type="dxa"/>
            <w:right w:w="108" w:type="dxa"/>
          </w:tblCellMar>
        </w:tblPrEx>
        <w:trPr>
          <w:trHeight w:val="500" w:hRule="atLeast"/>
        </w:trPr>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b/>
                <w:bCs/>
                <w:sz w:val="20"/>
              </w:rPr>
            </w:pPr>
            <w:r>
              <w:rPr>
                <w:rFonts w:hint="eastAsia" w:asciiTheme="minorEastAsia" w:hAnsiTheme="minorEastAsia" w:eastAsiaTheme="minorEastAsia" w:cstheme="minorEastAsia"/>
                <w:b/>
                <w:bCs/>
                <w:kern w:val="0"/>
                <w:sz w:val="20"/>
              </w:rPr>
              <w:t>序号</w:t>
            </w: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b/>
                <w:bCs/>
                <w:kern w:val="0"/>
                <w:sz w:val="20"/>
              </w:rPr>
            </w:pPr>
            <w:r>
              <w:rPr>
                <w:rFonts w:hint="eastAsia" w:asciiTheme="minorEastAsia" w:hAnsiTheme="minorEastAsia" w:eastAsiaTheme="minorEastAsia" w:cstheme="minorEastAsia"/>
                <w:b/>
                <w:bCs/>
                <w:kern w:val="0"/>
                <w:sz w:val="20"/>
              </w:rPr>
              <w:t>需求名称</w:t>
            </w:r>
          </w:p>
        </w:tc>
        <w:tc>
          <w:tcPr>
            <w:tcW w:w="79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b/>
                <w:bCs/>
                <w:kern w:val="0"/>
                <w:sz w:val="20"/>
              </w:rPr>
            </w:pPr>
            <w:r>
              <w:rPr>
                <w:rFonts w:hint="eastAsia" w:asciiTheme="minorEastAsia" w:hAnsiTheme="minorEastAsia" w:eastAsiaTheme="minorEastAsia" w:cstheme="minorEastAsia"/>
                <w:b/>
                <w:bCs/>
                <w:kern w:val="0"/>
                <w:sz w:val="20"/>
              </w:rPr>
              <w:t>参数</w:t>
            </w:r>
          </w:p>
          <w:p>
            <w:pPr>
              <w:widowControl/>
              <w:spacing w:line="240" w:lineRule="exact"/>
              <w:jc w:val="center"/>
              <w:textAlignment w:val="center"/>
              <w:rPr>
                <w:rFonts w:hint="eastAsia" w:asciiTheme="minorEastAsia" w:hAnsiTheme="minorEastAsia" w:eastAsiaTheme="minorEastAsia" w:cstheme="minorEastAsia"/>
                <w:b/>
                <w:bCs/>
                <w:sz w:val="20"/>
              </w:rPr>
            </w:pPr>
            <w:r>
              <w:rPr>
                <w:rFonts w:hint="eastAsia" w:asciiTheme="minorEastAsia" w:hAnsiTheme="minorEastAsia" w:eastAsiaTheme="minorEastAsia" w:cstheme="minorEastAsia"/>
                <w:b/>
                <w:bCs/>
                <w:kern w:val="0"/>
                <w:sz w:val="20"/>
              </w:rPr>
              <w:t>性质</w:t>
            </w:r>
          </w:p>
        </w:tc>
        <w:tc>
          <w:tcPr>
            <w:tcW w:w="4418"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b/>
                <w:bCs/>
                <w:sz w:val="20"/>
              </w:rPr>
            </w:pPr>
            <w:r>
              <w:rPr>
                <w:rFonts w:hint="eastAsia" w:asciiTheme="minorEastAsia" w:hAnsiTheme="minorEastAsia" w:eastAsiaTheme="minorEastAsia" w:cstheme="minorEastAsia"/>
                <w:b/>
                <w:bCs/>
                <w:kern w:val="0"/>
                <w:sz w:val="20"/>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b/>
                <w:bCs/>
                <w:sz w:val="20"/>
              </w:rPr>
            </w:pPr>
            <w:r>
              <w:rPr>
                <w:rFonts w:hint="eastAsia" w:asciiTheme="minorEastAsia" w:hAnsiTheme="minorEastAsia" w:eastAsiaTheme="minorEastAsia" w:cstheme="minorEastAsia"/>
                <w:b/>
                <w:bCs/>
                <w:kern w:val="0"/>
                <w:sz w:val="20"/>
              </w:rPr>
              <w:t>是否</w:t>
            </w:r>
            <w:r>
              <w:rPr>
                <w:rFonts w:hint="eastAsia" w:asciiTheme="minorEastAsia" w:hAnsiTheme="minorEastAsia" w:eastAsiaTheme="minorEastAsia" w:cstheme="minorEastAsia"/>
                <w:b/>
                <w:bCs/>
                <w:kern w:val="0"/>
                <w:sz w:val="20"/>
              </w:rPr>
              <w:br w:type="textWrapping"/>
            </w:r>
            <w:r>
              <w:rPr>
                <w:rFonts w:hint="eastAsia" w:asciiTheme="minorEastAsia" w:hAnsiTheme="minorEastAsia" w:eastAsiaTheme="minorEastAsia" w:cstheme="minorEastAsia"/>
                <w:b/>
                <w:bCs/>
                <w:kern w:val="0"/>
                <w:sz w:val="20"/>
              </w:rPr>
              <w:t>量化</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b/>
                <w:bCs/>
                <w:sz w:val="20"/>
              </w:rPr>
            </w:pPr>
            <w:r>
              <w:rPr>
                <w:rFonts w:hint="eastAsia" w:asciiTheme="minorEastAsia" w:hAnsiTheme="minorEastAsia" w:eastAsiaTheme="minorEastAsia" w:cstheme="minorEastAsia"/>
                <w:b/>
                <w:bCs/>
                <w:kern w:val="0"/>
                <w:sz w:val="20"/>
              </w:rPr>
              <w:t>备注</w:t>
            </w:r>
          </w:p>
        </w:tc>
      </w:tr>
      <w:tr>
        <w:tblPrEx>
          <w:tblLayout w:type="fixed"/>
          <w:tblCellMar>
            <w:top w:w="0" w:type="dxa"/>
            <w:left w:w="108" w:type="dxa"/>
            <w:bottom w:w="0" w:type="dxa"/>
            <w:right w:w="108" w:type="dxa"/>
          </w:tblCellMar>
        </w:tblPrEx>
        <w:trPr>
          <w:trHeight w:val="500" w:hRule="atLeast"/>
        </w:trPr>
        <w:tc>
          <w:tcPr>
            <w:tcW w:w="9060" w:type="dxa"/>
            <w:gridSpan w:val="9"/>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b/>
                <w:bCs/>
                <w:kern w:val="0"/>
                <w:sz w:val="20"/>
              </w:rPr>
              <w:t>技术要求</w:t>
            </w:r>
          </w:p>
        </w:tc>
      </w:tr>
      <w:tr>
        <w:tblPrEx>
          <w:tblLayout w:type="fixed"/>
          <w:tblCellMar>
            <w:top w:w="0" w:type="dxa"/>
            <w:left w:w="108" w:type="dxa"/>
            <w:bottom w:w="0" w:type="dxa"/>
            <w:right w:w="108" w:type="dxa"/>
          </w:tblCellMar>
        </w:tblPrEx>
        <w:trPr>
          <w:trHeight w:val="500" w:hRule="atLeast"/>
        </w:trPr>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1</w:t>
            </w: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基本要求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提供GE HD750CT设备CCB电路板及人工，飞天6000型DR探测器电源及人工，及玲珑DR更换球管，提供维修更换服务，保障设备正常运行</w:t>
            </w:r>
            <w:r>
              <w:rPr>
                <w:rFonts w:hint="eastAsia" w:asciiTheme="minorEastAsia" w:hAnsiTheme="minorEastAsia" w:eastAsiaTheme="minorEastAsia" w:cstheme="minorEastAsia"/>
                <w:i/>
                <w:iCs/>
                <w:kern w:val="0"/>
                <w:sz w:val="20"/>
              </w:rPr>
              <w:t>。</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920" w:hRule="atLeast"/>
        </w:trPr>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lang w:eastAsia="zh-CN"/>
              </w:rPr>
            </w:pPr>
            <w:r>
              <w:rPr>
                <w:rFonts w:hint="eastAsia" w:asciiTheme="minorEastAsia" w:hAnsiTheme="minorEastAsia" w:eastAsiaTheme="minorEastAsia" w:cstheme="minorEastAsia"/>
                <w:kern w:val="0"/>
                <w:sz w:val="20"/>
                <w:lang w:val="en-US" w:eastAsia="zh-CN"/>
              </w:rPr>
              <w:t>2</w:t>
            </w: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标准规范</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投标人是原厂或原厂合法授权代理商，并提供相关证明材料。</w:t>
            </w:r>
          </w:p>
          <w:p>
            <w:pPr>
              <w:widowControl/>
              <w:spacing w:line="240" w:lineRule="exact"/>
              <w:jc w:val="left"/>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服务提供商具有医疗设备维修企业资格。提供经年检有效的营业执照。</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500" w:hRule="atLeast"/>
        </w:trPr>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lang w:eastAsia="zh-CN"/>
              </w:rPr>
            </w:pPr>
            <w:r>
              <w:rPr>
                <w:rFonts w:hint="eastAsia" w:asciiTheme="minorEastAsia" w:hAnsiTheme="minorEastAsia" w:eastAsiaTheme="minorEastAsia" w:cstheme="minorEastAsia"/>
                <w:kern w:val="0"/>
                <w:sz w:val="20"/>
                <w:lang w:val="en-US" w:eastAsia="zh-CN"/>
              </w:rPr>
              <w:t>3</w:t>
            </w: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技术指标1</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原厂或其授权代理商需配备全职专业设备CT维修工程师≥4名；专业设备DR维修工程师≥4名，并提供经原厂认证的有效期内资质证明文件。</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500" w:hRule="atLeast"/>
        </w:trPr>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lang w:eastAsia="zh-CN"/>
              </w:rPr>
            </w:pPr>
            <w:r>
              <w:rPr>
                <w:rFonts w:hint="eastAsia" w:asciiTheme="minorEastAsia" w:hAnsiTheme="minorEastAsia" w:eastAsiaTheme="minorEastAsia" w:cstheme="minorEastAsia"/>
                <w:kern w:val="0"/>
                <w:sz w:val="20"/>
                <w:lang w:val="en-US" w:eastAsia="zh-CN"/>
              </w:rPr>
              <w:t>4</w:t>
            </w: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技术指标2</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原厂或其授权代理商须具备客户服务专线电话，全年365天开通，并设有不少于5人以上专人接听或不少于3人以上备用报修电话，每天24小时开通服务时间，配有在线和远程技术支持。当该设备出现故障时，供应商按照合同约定时间响应，及时派遣工程师进行电话指导或赴现场维修。</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500" w:hRule="atLeast"/>
        </w:trPr>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lang w:eastAsia="zh-CN"/>
              </w:rPr>
            </w:pPr>
            <w:r>
              <w:rPr>
                <w:rFonts w:hint="eastAsia" w:asciiTheme="minorEastAsia" w:hAnsiTheme="minorEastAsia" w:eastAsiaTheme="minorEastAsia" w:cstheme="minorEastAsia"/>
                <w:kern w:val="0"/>
                <w:sz w:val="20"/>
                <w:lang w:val="en-US" w:eastAsia="zh-CN"/>
              </w:rPr>
              <w:t>5</w:t>
            </w: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技术指标3</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原厂或其授权代理商提供符合该项目需求的服务方案。</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500" w:hRule="atLeast"/>
        </w:trPr>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lang w:eastAsia="zh-CN"/>
              </w:rPr>
            </w:pPr>
            <w:r>
              <w:rPr>
                <w:rFonts w:hint="eastAsia" w:asciiTheme="minorEastAsia" w:hAnsiTheme="minorEastAsia" w:eastAsiaTheme="minorEastAsia" w:cstheme="minorEastAsia"/>
                <w:kern w:val="0"/>
                <w:sz w:val="20"/>
                <w:lang w:val="en-US" w:eastAsia="zh-CN"/>
              </w:rPr>
              <w:t>6</w:t>
            </w: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技术指标5</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Theme="minorEastAsia" w:hAnsiTheme="minorEastAsia" w:eastAsiaTheme="minorEastAsia" w:cstheme="minorEastAsia"/>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原厂或原厂合法授权代理商具有有效的质量管理体系（ISO9001或GB/T19001）、环境管理体系（ISO14001或GB/T24001）、职业健康安全管理体系（OHSAS18001或GB/T28001）认证文件。</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i/>
                <w:iCs/>
                <w:sz w:val="20"/>
              </w:rPr>
            </w:pPr>
          </w:p>
        </w:tc>
      </w:tr>
      <w:tr>
        <w:tblPrEx>
          <w:tblLayout w:type="fixed"/>
          <w:tblCellMar>
            <w:top w:w="0" w:type="dxa"/>
            <w:left w:w="108" w:type="dxa"/>
            <w:bottom w:w="0" w:type="dxa"/>
            <w:right w:w="108" w:type="dxa"/>
          </w:tblCellMar>
        </w:tblPrEx>
        <w:trPr>
          <w:trHeight w:val="500" w:hRule="atLeast"/>
        </w:trPr>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lang w:eastAsia="zh-CN"/>
              </w:rPr>
            </w:pPr>
            <w:r>
              <w:rPr>
                <w:rFonts w:hint="eastAsia" w:asciiTheme="minorEastAsia" w:hAnsiTheme="minorEastAsia" w:eastAsiaTheme="minorEastAsia" w:cstheme="minorEastAsia"/>
                <w:kern w:val="0"/>
                <w:sz w:val="20"/>
                <w:lang w:val="en-US" w:eastAsia="zh-CN"/>
              </w:rPr>
              <w:t>7</w:t>
            </w: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配置名称1</w:t>
            </w:r>
            <w:r>
              <w:rPr>
                <w:rFonts w:hint="eastAsia" w:asciiTheme="minorEastAsia" w:hAnsiTheme="minorEastAsia" w:eastAsiaTheme="minorEastAsia" w:cstheme="minorEastAsia"/>
                <w:kern w:val="0"/>
                <w:sz w:val="20"/>
              </w:rPr>
              <w:br w:type="textWrapping"/>
            </w:r>
            <w:r>
              <w:rPr>
                <w:rFonts w:hint="eastAsia" w:asciiTheme="minorEastAsia" w:hAnsiTheme="minorEastAsia" w:eastAsiaTheme="minorEastAsia" w:cstheme="minorEastAsia"/>
                <w:kern w:val="0"/>
                <w:sz w:val="20"/>
              </w:rPr>
              <w:t>（服务点位）</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投标人在北京市内设有长期稳定的服务机构≥2年。</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500" w:hRule="atLeast"/>
        </w:trPr>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lang w:eastAsia="zh-CN"/>
              </w:rPr>
            </w:pPr>
            <w:r>
              <w:rPr>
                <w:rFonts w:hint="eastAsia" w:asciiTheme="minorEastAsia" w:hAnsiTheme="minorEastAsia" w:eastAsiaTheme="minorEastAsia" w:cstheme="minorEastAsia"/>
                <w:kern w:val="0"/>
                <w:sz w:val="20"/>
                <w:lang w:val="en-US" w:eastAsia="zh-CN"/>
              </w:rPr>
              <w:t>8</w:t>
            </w: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配置名称2</w:t>
            </w:r>
            <w:r>
              <w:rPr>
                <w:rFonts w:hint="eastAsia" w:asciiTheme="minorEastAsia" w:hAnsiTheme="minorEastAsia" w:eastAsiaTheme="minorEastAsia" w:cstheme="minorEastAsia"/>
                <w:kern w:val="0"/>
                <w:sz w:val="20"/>
              </w:rPr>
              <w:br w:type="textWrapping"/>
            </w:r>
            <w:r>
              <w:rPr>
                <w:rFonts w:hint="eastAsia" w:asciiTheme="minorEastAsia" w:hAnsiTheme="minorEastAsia" w:eastAsiaTheme="minorEastAsia" w:cstheme="minorEastAsia"/>
                <w:kern w:val="0"/>
                <w:sz w:val="20"/>
              </w:rPr>
              <w:t>（配置要求）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kern w:val="0"/>
                <w:sz w:val="20"/>
              </w:rPr>
            </w:pPr>
            <w:r>
              <w:rPr>
                <w:rFonts w:hint="eastAsia" w:asciiTheme="minorEastAsia" w:hAnsiTheme="minorEastAsia" w:eastAsiaTheme="minorEastAsia" w:cstheme="minorEastAsia"/>
                <w:kern w:val="0"/>
                <w:sz w:val="20"/>
              </w:rPr>
              <w:t>提供CCB电路板一个；探测器电源1个；玲珑球管1支；</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i/>
                <w:iCs/>
                <w:kern w:val="0"/>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500" w:hRule="atLeast"/>
        </w:trPr>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lang w:eastAsia="zh-CN"/>
              </w:rPr>
            </w:pPr>
            <w:r>
              <w:rPr>
                <w:rFonts w:hint="eastAsia" w:asciiTheme="minorEastAsia" w:hAnsiTheme="minorEastAsia" w:eastAsiaTheme="minorEastAsia" w:cstheme="minorEastAsia"/>
                <w:kern w:val="0"/>
                <w:sz w:val="20"/>
                <w:lang w:val="en-US" w:eastAsia="zh-CN"/>
              </w:rPr>
              <w:t>9</w:t>
            </w: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综合实力1</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原厂或其授权代理商所更换的备件必须是经检验合格的原厂全新球管及配件，满足设备运行要求，不会给设备带来危害。</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500" w:hRule="atLeast"/>
        </w:trPr>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lang w:eastAsia="zh-CN"/>
              </w:rPr>
            </w:pPr>
            <w:r>
              <w:rPr>
                <w:rFonts w:hint="eastAsia" w:asciiTheme="minorEastAsia" w:hAnsiTheme="minorEastAsia" w:eastAsiaTheme="minorEastAsia" w:cstheme="minorEastAsia"/>
                <w:kern w:val="0"/>
                <w:sz w:val="20"/>
              </w:rPr>
              <w:t>1</w:t>
            </w:r>
            <w:r>
              <w:rPr>
                <w:rFonts w:hint="eastAsia" w:asciiTheme="minorEastAsia" w:hAnsiTheme="minorEastAsia" w:eastAsiaTheme="minorEastAsia" w:cstheme="minorEastAsia"/>
                <w:kern w:val="0"/>
                <w:sz w:val="20"/>
                <w:lang w:val="en-US" w:eastAsia="zh-CN"/>
              </w:rPr>
              <w:t>0</w:t>
            </w: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综合实力2</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原厂或其授权代理商在国内设有专业的设备零备件仓库，仓库总面积须≥200平方米。</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1090" w:hRule="atLeast"/>
        </w:trPr>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kern w:val="0"/>
                <w:sz w:val="20"/>
              </w:rPr>
              <w:t>1</w:t>
            </w:r>
            <w:r>
              <w:rPr>
                <w:rFonts w:hint="eastAsia" w:asciiTheme="minorEastAsia" w:hAnsiTheme="minorEastAsia" w:eastAsiaTheme="minorEastAsia" w:cstheme="minorEastAsia"/>
                <w:kern w:val="0"/>
                <w:sz w:val="20"/>
                <w:lang w:val="en-US" w:eastAsia="zh-CN"/>
              </w:rPr>
              <w:t>1</w:t>
            </w: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验收标准方法</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更换的GE CT及DR配件安装完成且设备运行稳定, 经医学工程科出具维修记录单确认验收合格。</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500" w:hRule="atLeast"/>
        </w:trPr>
        <w:tc>
          <w:tcPr>
            <w:tcW w:w="9060" w:type="dxa"/>
            <w:gridSpan w:val="9"/>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color w:val="auto"/>
                <w:kern w:val="0"/>
                <w:sz w:val="20"/>
              </w:rPr>
              <w:t>经济要求</w:t>
            </w:r>
          </w:p>
        </w:tc>
      </w:tr>
      <w:tr>
        <w:tblPrEx>
          <w:tblLayout w:type="fixed"/>
          <w:tblCellMar>
            <w:top w:w="0" w:type="dxa"/>
            <w:left w:w="108" w:type="dxa"/>
            <w:bottom w:w="0" w:type="dxa"/>
            <w:right w:w="108" w:type="dxa"/>
          </w:tblCellMar>
        </w:tblPrEx>
        <w:trPr>
          <w:trHeight w:val="465" w:hRule="atLeast"/>
        </w:trPr>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1</w:t>
            </w: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交货时间、交货地点</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1.服务时间：签订合同后一个月内交付；</w:t>
            </w:r>
          </w:p>
          <w:p>
            <w:pPr>
              <w:widowControl/>
              <w:spacing w:line="240" w:lineRule="exact"/>
              <w:jc w:val="left"/>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2,服务地点：甲方拟定交付地点。</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499" w:hRule="atLeast"/>
        </w:trPr>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2</w:t>
            </w: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付款及结算方式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签订合同付（预付）0%，服务完成验收后付100%。</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454" w:hRule="atLeast"/>
        </w:trPr>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5</w:t>
            </w: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售后服务1</w:t>
            </w:r>
          </w:p>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（质保）</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球管自安装之日起1个月全保或12个月比例保。其他备件质保期不少于3个月。</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499" w:hRule="atLeast"/>
        </w:trPr>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8</w:t>
            </w: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售后服务4</w:t>
            </w:r>
            <w:r>
              <w:rPr>
                <w:rFonts w:hint="eastAsia" w:asciiTheme="minorEastAsia" w:hAnsiTheme="minorEastAsia" w:eastAsiaTheme="minorEastAsia" w:cstheme="minorEastAsia"/>
                <w:kern w:val="0"/>
                <w:sz w:val="20"/>
              </w:rPr>
              <w:br w:type="textWrapping"/>
            </w:r>
            <w:r>
              <w:rPr>
                <w:rFonts w:hint="eastAsia" w:asciiTheme="minorEastAsia" w:hAnsiTheme="minorEastAsia" w:eastAsiaTheme="minorEastAsia" w:cstheme="minorEastAsia"/>
                <w:kern w:val="0"/>
                <w:sz w:val="20"/>
              </w:rPr>
              <w:t>（响应时间）</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sz w:val="20"/>
              </w:rPr>
            </w:pPr>
            <w:r>
              <w:rPr>
                <w:rFonts w:hint="eastAsia" w:asciiTheme="minorEastAsia" w:hAnsiTheme="minorEastAsia" w:eastAsiaTheme="minorEastAsia" w:cstheme="minorEastAsia"/>
                <w:kern w:val="0"/>
                <w:sz w:val="20"/>
              </w:rPr>
              <w:t>保响应时间：≤2小时；工程师现场响应时间≤48小时。更换的配件到货安装时间如下：国内库房常规备件：≤36小时；国内无货需国外库发货：≤7天；如遇</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499" w:hRule="atLeast"/>
        </w:trPr>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9</w:t>
            </w:r>
          </w:p>
        </w:tc>
        <w:tc>
          <w:tcPr>
            <w:tcW w:w="11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专用工具</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kern w:val="0"/>
                <w:sz w:val="20"/>
              </w:rPr>
            </w:pPr>
            <w:r>
              <w:rPr>
                <w:rFonts w:hint="eastAsia" w:asciiTheme="minorEastAsia" w:hAnsiTheme="minorEastAsia" w:eastAsiaTheme="minorEastAsia" w:cstheme="minorEastAsia"/>
                <w:kern w:val="0"/>
                <w:sz w:val="20"/>
              </w:rPr>
              <w:t>原厂或其授权代理商须具有经校正的维修、保养设备的专业维修工具、仪器。</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企业承诺</w:t>
            </w:r>
          </w:p>
        </w:tc>
      </w:tr>
      <w:tr>
        <w:tblPrEx>
          <w:tblLayout w:type="fixed"/>
          <w:tblCellMar>
            <w:top w:w="0" w:type="dxa"/>
            <w:left w:w="108" w:type="dxa"/>
            <w:bottom w:w="0" w:type="dxa"/>
            <w:right w:w="108" w:type="dxa"/>
          </w:tblCellMar>
        </w:tblPrEx>
        <w:trPr>
          <w:trHeight w:val="90" w:hRule="atLeast"/>
        </w:trPr>
        <w:tc>
          <w:tcPr>
            <w:tcW w:w="9060" w:type="dxa"/>
            <w:gridSpan w:val="9"/>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left"/>
              <w:rPr>
                <w:rFonts w:ascii="宋体" w:cs="宋体"/>
                <w:color w:val="000000"/>
                <w:kern w:val="0"/>
                <w:sz w:val="18"/>
                <w:szCs w:val="18"/>
              </w:rPr>
            </w:pPr>
            <w:r>
              <w:rPr>
                <w:rFonts w:hint="eastAsia" w:ascii="宋体" w:hAnsi="宋体" w:cs="宋体"/>
                <w:color w:val="000000"/>
                <w:kern w:val="0"/>
                <w:sz w:val="18"/>
                <w:szCs w:val="18"/>
              </w:rPr>
              <w:t>注：</w:t>
            </w:r>
            <w:r>
              <w:rPr>
                <w:rFonts w:ascii="宋体" w:hAnsi="宋体" w:cs="宋体"/>
                <w:color w:val="000000"/>
                <w:kern w:val="0"/>
                <w:sz w:val="18"/>
                <w:szCs w:val="18"/>
              </w:rPr>
              <w:t>1.</w:t>
            </w:r>
            <w:r>
              <w:rPr>
                <w:rFonts w:hint="eastAsia" w:ascii="宋体" w:hAnsi="宋体" w:cs="宋体"/>
                <w:color w:val="000000"/>
                <w:kern w:val="0"/>
                <w:sz w:val="18"/>
                <w:szCs w:val="18"/>
              </w:rPr>
              <w:t>★指标为必须响应指标，任意一项不满足要求即做废标处理；</w:t>
            </w:r>
          </w:p>
          <w:p>
            <w:pPr>
              <w:widowControl/>
              <w:spacing w:after="62" w:afterLines="20" w:line="300" w:lineRule="exact"/>
              <w:ind w:left="420" w:leftChars="200"/>
              <w:jc w:val="left"/>
              <w:textAlignment w:val="center"/>
              <w:rPr>
                <w:rFonts w:hint="eastAsia" w:asciiTheme="minorEastAsia" w:hAnsiTheme="minorEastAsia" w:eastAsiaTheme="minorEastAsia" w:cstheme="minorEastAsia"/>
                <w:sz w:val="22"/>
                <w:szCs w:val="22"/>
                <w:lang w:eastAsia="zh-CN"/>
              </w:rPr>
            </w:pPr>
            <w:r>
              <w:rPr>
                <w:rFonts w:ascii="宋体" w:hAnsi="宋体" w:cs="宋体"/>
                <w:color w:val="000000"/>
                <w:kern w:val="0"/>
                <w:sz w:val="18"/>
                <w:szCs w:val="18"/>
              </w:rPr>
              <w:t>2.</w:t>
            </w:r>
            <w:r>
              <w:rPr>
                <w:rFonts w:hint="eastAsia" w:ascii="宋体" w:hAnsi="宋体" w:cs="宋体"/>
                <w:color w:val="000000"/>
                <w:kern w:val="0"/>
                <w:sz w:val="18"/>
                <w:szCs w:val="18"/>
              </w:rPr>
              <w:t>★及▲标识的指标，需逐条按备注要求提供证明材料，未明确的可由企业提供承诺</w:t>
            </w:r>
            <w:r>
              <w:rPr>
                <w:rFonts w:hint="eastAsia" w:ascii="宋体" w:hAnsi="宋体" w:cs="宋体"/>
                <w:color w:val="000000"/>
                <w:kern w:val="0"/>
                <w:sz w:val="18"/>
                <w:szCs w:val="18"/>
                <w:lang w:eastAsia="zh-CN"/>
              </w:rPr>
              <w:t>。</w:t>
            </w:r>
            <w:bookmarkStart w:id="0" w:name="_GoBack"/>
            <w:bookmarkEnd w:id="0"/>
          </w:p>
        </w:tc>
      </w:tr>
    </w:tbl>
    <w:p>
      <w:pPr>
        <w:pStyle w:val="2"/>
      </w:pPr>
    </w:p>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E47A74"/>
    <w:rsid w:val="0417711A"/>
    <w:rsid w:val="04C65E92"/>
    <w:rsid w:val="1124205D"/>
    <w:rsid w:val="12AA1277"/>
    <w:rsid w:val="12E51E21"/>
    <w:rsid w:val="168B233E"/>
    <w:rsid w:val="1CE47A74"/>
    <w:rsid w:val="1CF64E69"/>
    <w:rsid w:val="1DE66D81"/>
    <w:rsid w:val="2255653A"/>
    <w:rsid w:val="23C479DB"/>
    <w:rsid w:val="2462459D"/>
    <w:rsid w:val="255178E4"/>
    <w:rsid w:val="26D44EE5"/>
    <w:rsid w:val="28DD51A2"/>
    <w:rsid w:val="2BB40B25"/>
    <w:rsid w:val="2C48216D"/>
    <w:rsid w:val="2D5C64E5"/>
    <w:rsid w:val="2F1C2362"/>
    <w:rsid w:val="2FE225DA"/>
    <w:rsid w:val="354C3B38"/>
    <w:rsid w:val="35B464C1"/>
    <w:rsid w:val="36AC6216"/>
    <w:rsid w:val="3A152EAA"/>
    <w:rsid w:val="409C6CF6"/>
    <w:rsid w:val="44752599"/>
    <w:rsid w:val="4E3E36FB"/>
    <w:rsid w:val="55B92F41"/>
    <w:rsid w:val="5CC02248"/>
    <w:rsid w:val="5DF91893"/>
    <w:rsid w:val="66BE2F36"/>
    <w:rsid w:val="681D59FD"/>
    <w:rsid w:val="7A194897"/>
    <w:rsid w:val="7B705122"/>
    <w:rsid w:val="7C2E7FEA"/>
    <w:rsid w:val="7F3110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Body Text"/>
    <w:basedOn w:val="1"/>
    <w:next w:val="1"/>
    <w:qFormat/>
    <w:uiPriority w:val="0"/>
    <w:pPr>
      <w:spacing w:after="120"/>
    </w:pPr>
  </w:style>
  <w:style w:type="character" w:customStyle="1" w:styleId="6">
    <w:name w:val="font31"/>
    <w:basedOn w:val="5"/>
    <w:qFormat/>
    <w:uiPriority w:val="0"/>
    <w:rPr>
      <w:rFonts w:hint="eastAsia" w:ascii="黑体" w:hAnsi="宋体" w:eastAsia="黑体" w:cs="黑体"/>
      <w:color w:val="000000"/>
      <w:sz w:val="20"/>
      <w:szCs w:val="20"/>
      <w:u w:val="none"/>
    </w:rPr>
  </w:style>
  <w:style w:type="character" w:customStyle="1" w:styleId="7">
    <w:name w:val="font11"/>
    <w:basedOn w:val="5"/>
    <w:qFormat/>
    <w:uiPriority w:val="0"/>
    <w:rPr>
      <w:rFonts w:hint="eastAsia" w:ascii="黑体" w:hAnsi="宋体" w:eastAsia="黑体" w:cs="黑体"/>
      <w:color w:val="000000"/>
      <w:sz w:val="20"/>
      <w:szCs w:val="20"/>
      <w:u w:val="none"/>
    </w:rPr>
  </w:style>
  <w:style w:type="character" w:customStyle="1" w:styleId="8">
    <w:name w:val="font61"/>
    <w:basedOn w:val="5"/>
    <w:qFormat/>
    <w:uiPriority w:val="0"/>
    <w:rPr>
      <w:rFonts w:hint="eastAsia" w:ascii="黑体" w:hAnsi="宋体" w:eastAsia="黑体" w:cs="黑体"/>
      <w:i/>
      <w:color w:val="000000"/>
      <w:sz w:val="20"/>
      <w:szCs w:val="20"/>
      <w:u w:val="none"/>
    </w:rPr>
  </w:style>
  <w:style w:type="character" w:customStyle="1" w:styleId="9">
    <w:name w:val="font101"/>
    <w:basedOn w:val="5"/>
    <w:qFormat/>
    <w:uiPriority w:val="0"/>
    <w:rPr>
      <w:rFonts w:hint="eastAsia" w:ascii="宋体" w:hAnsi="宋体" w:eastAsia="宋体" w:cs="宋体"/>
      <w:i/>
      <w:color w:val="000000"/>
      <w:sz w:val="20"/>
      <w:szCs w:val="20"/>
      <w:u w:val="none"/>
    </w:rPr>
  </w:style>
  <w:style w:type="character" w:customStyle="1" w:styleId="10">
    <w:name w:val="font51"/>
    <w:basedOn w:val="5"/>
    <w:qFormat/>
    <w:uiPriority w:val="0"/>
    <w:rPr>
      <w:rFonts w:hint="eastAsia" w:ascii="黑体" w:hAnsi="宋体" w:eastAsia="黑体" w:cs="黑体"/>
      <w:color w:val="000000"/>
      <w:sz w:val="20"/>
      <w:szCs w:val="20"/>
      <w:u w:val="none"/>
    </w:rPr>
  </w:style>
  <w:style w:type="character" w:customStyle="1" w:styleId="11">
    <w:name w:val="font112"/>
    <w:basedOn w:val="5"/>
    <w:qFormat/>
    <w:uiPriority w:val="0"/>
    <w:rPr>
      <w:rFonts w:hint="eastAsia" w:ascii="黑体" w:hAnsi="宋体" w:eastAsia="黑体" w:cs="黑体"/>
      <w:i/>
      <w:color w:val="000000"/>
      <w:sz w:val="20"/>
      <w:szCs w:val="20"/>
      <w:u w:val="none"/>
    </w:rPr>
  </w:style>
  <w:style w:type="character" w:customStyle="1" w:styleId="12">
    <w:name w:val="font131"/>
    <w:basedOn w:val="5"/>
    <w:qFormat/>
    <w:uiPriority w:val="0"/>
    <w:rPr>
      <w:rFonts w:hint="eastAsia" w:ascii="黑体" w:hAnsi="宋体" w:eastAsia="黑体" w:cs="黑体"/>
      <w:i/>
      <w:color w:val="FF0000"/>
      <w:sz w:val="20"/>
      <w:szCs w:val="20"/>
      <w:u w:val="none"/>
    </w:rPr>
  </w:style>
  <w:style w:type="character" w:customStyle="1" w:styleId="13">
    <w:name w:val="font91"/>
    <w:basedOn w:val="5"/>
    <w:qFormat/>
    <w:uiPriority w:val="0"/>
    <w:rPr>
      <w:rFonts w:ascii="Wingdings" w:hAnsi="Wingdings" w:cs="Wingdings"/>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2025-02-20T02:59:00Z</dcterms:created>
  <dc:creator>DOCTOR</dc:creator>
  <cp:lastModifiedBy>DOCTOR</cp:lastModifiedBy>
  <dcterms:modified xsi:type="dcterms:W3CDTF">2025-02-25T02:09:25Z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