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Lines="50" w:afterLines="50" w:line="572" w:lineRule="exact"/>
        <w:jc w:val="center"/>
        <w:rPr>
          <w:rFonts w:ascii="方正小标宋简体" w:hAnsi="方正小标宋简体" w:eastAsia="方正小标宋简体" w:cs="方正小标宋简体"/>
          <w:kern w:val="0"/>
          <w:sz w:val="28"/>
          <w:szCs w:val="28"/>
        </w:rPr>
      </w:pPr>
      <w:r>
        <w:rPr>
          <w:rFonts w:hint="eastAsia" w:ascii="方正小标宋简体" w:hAnsi="方正小标宋简体" w:eastAsia="方正小标宋简体" w:cs="方正小标宋简体"/>
          <w:kern w:val="0"/>
          <w:sz w:val="44"/>
          <w:szCs w:val="44"/>
        </w:rPr>
        <w:t>采购需求表</w:t>
      </w:r>
    </w:p>
    <w:tbl>
      <w:tblPr>
        <w:tblStyle w:val="6"/>
        <w:tblW w:w="5000" w:type="pct"/>
        <w:tblInd w:w="0" w:type="dxa"/>
        <w:tblLayout w:type="autofit"/>
        <w:tblCellMar>
          <w:top w:w="0" w:type="dxa"/>
          <w:left w:w="108" w:type="dxa"/>
          <w:bottom w:w="0" w:type="dxa"/>
          <w:right w:w="108" w:type="dxa"/>
        </w:tblCellMar>
      </w:tblPr>
      <w:tblGrid>
        <w:gridCol w:w="671"/>
        <w:gridCol w:w="1074"/>
        <w:gridCol w:w="658"/>
        <w:gridCol w:w="1011"/>
        <w:gridCol w:w="1945"/>
        <w:gridCol w:w="1607"/>
        <w:gridCol w:w="699"/>
        <w:gridCol w:w="857"/>
      </w:tblGrid>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bookmarkStart w:id="0" w:name="_GoBack"/>
            <w:r>
              <w:rPr>
                <w:rFonts w:hint="eastAsia" w:ascii="黑体" w:hAnsi="宋体" w:eastAsia="黑体" w:cs="黑体"/>
                <w:kern w:val="0"/>
                <w:sz w:val="20"/>
              </w:rPr>
              <w:t>采购计划编号</w:t>
            </w:r>
          </w:p>
        </w:tc>
        <w:tc>
          <w:tcPr>
            <w:tcW w:w="1016" w:type="pct"/>
            <w:gridSpan w:val="2"/>
            <w:tcBorders>
              <w:top w:val="single" w:color="000000" w:sz="4" w:space="0"/>
              <w:left w:val="single" w:color="000000" w:sz="4" w:space="0"/>
              <w:bottom w:val="single" w:color="000000" w:sz="4" w:space="0"/>
              <w:right w:val="nil"/>
            </w:tcBorders>
            <w:vAlign w:val="center"/>
          </w:tcPr>
          <w:p>
            <w:pPr>
              <w:jc w:val="center"/>
              <w:rPr>
                <w:rFonts w:hint="eastAsia" w:eastAsia="宋体"/>
                <w:lang w:eastAsia="zh-CN"/>
              </w:rPr>
            </w:pPr>
            <w:r>
              <w:rPr>
                <w:rFonts w:hint="eastAsia" w:ascii="宋体" w:hAnsi="宋体" w:cs="宋体"/>
                <w:kern w:val="0"/>
                <w:sz w:val="18"/>
                <w:szCs w:val="18"/>
                <w:lang w:val="en-US" w:eastAsia="zh-CN"/>
              </w:rPr>
              <w:t>/</w:t>
            </w:r>
          </w:p>
        </w:tc>
        <w:tc>
          <w:tcPr>
            <w:tcW w:w="593" w:type="pct"/>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项目</w:t>
            </w:r>
          </w:p>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名称</w:t>
            </w:r>
          </w:p>
        </w:tc>
        <w:tc>
          <w:tcPr>
            <w:tcW w:w="114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儿童早期综合发展管理系统</w:t>
            </w:r>
          </w:p>
        </w:tc>
        <w:tc>
          <w:tcPr>
            <w:tcW w:w="94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最高限价</w:t>
            </w:r>
          </w:p>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（万元）</w:t>
            </w:r>
          </w:p>
        </w:tc>
        <w:tc>
          <w:tcPr>
            <w:tcW w:w="912"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26</w:t>
            </w: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序号</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需求</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名称</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参数</w:t>
            </w:r>
          </w:p>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性质</w:t>
            </w: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需求具体内容</w:t>
            </w:r>
          </w:p>
        </w:tc>
        <w:tc>
          <w:tcPr>
            <w:tcW w:w="410" w:type="pct"/>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是否</w:t>
            </w:r>
            <w:r>
              <w:rPr>
                <w:rFonts w:hint="eastAsia" w:ascii="黑体" w:hAnsi="宋体" w:eastAsia="黑体" w:cs="黑体"/>
                <w:kern w:val="0"/>
                <w:sz w:val="20"/>
              </w:rPr>
              <w:br w:type="textWrapping"/>
            </w:r>
            <w:r>
              <w:rPr>
                <w:rFonts w:hint="eastAsia" w:ascii="黑体" w:hAnsi="宋体" w:eastAsia="黑体" w:cs="黑体"/>
                <w:kern w:val="0"/>
                <w:sz w:val="20"/>
              </w:rPr>
              <w:t>量化</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备注（证明材料等其他要求）</w:t>
            </w:r>
          </w:p>
        </w:tc>
      </w:tr>
      <w:tr>
        <w:tblPrEx>
          <w:tblCellMar>
            <w:top w:w="0" w:type="dxa"/>
            <w:left w:w="108" w:type="dxa"/>
            <w:bottom w:w="0" w:type="dxa"/>
            <w:right w:w="108" w:type="dxa"/>
          </w:tblCellMar>
        </w:tblPrEx>
        <w:trPr>
          <w:trHeight w:val="500" w:hRule="atLeast"/>
        </w:trPr>
        <w:tc>
          <w:tcPr>
            <w:tcW w:w="5000" w:type="pct"/>
            <w:gridSpan w:val="8"/>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技术要求</w:t>
            </w: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黑体" w:eastAsia="黑体" w:cs="黑体"/>
                <w:sz w:val="20"/>
              </w:rPr>
            </w:pPr>
            <w:r>
              <w:rPr>
                <w:rFonts w:ascii="黑体" w:hAnsi="黑体" w:eastAsia="黑体" w:cs="黑体"/>
                <w:sz w:val="20"/>
              </w:rPr>
              <w:t>1</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黑体" w:eastAsia="黑体" w:cs="黑体"/>
                <w:color w:val="000000" w:themeColor="text1"/>
                <w:kern w:val="0"/>
                <w:sz w:val="20"/>
              </w:rPr>
            </w:pPr>
            <w:r>
              <w:rPr>
                <w:rFonts w:hint="eastAsia" w:ascii="黑体" w:hAnsi="黑体" w:eastAsia="黑体" w:cs="黑体"/>
                <w:color w:val="000000" w:themeColor="text1"/>
                <w:kern w:val="0"/>
                <w:sz w:val="20"/>
              </w:rPr>
              <w:t>基本</w:t>
            </w:r>
          </w:p>
          <w:p>
            <w:pPr>
              <w:widowControl/>
              <w:spacing w:line="240" w:lineRule="exact"/>
              <w:jc w:val="center"/>
              <w:textAlignment w:val="center"/>
              <w:rPr>
                <w:rFonts w:ascii="黑体" w:hAnsi="黑体" w:eastAsia="黑体" w:cs="黑体"/>
                <w:color w:val="000000" w:themeColor="text1"/>
                <w:kern w:val="0"/>
                <w:sz w:val="20"/>
              </w:rPr>
            </w:pPr>
            <w:r>
              <w:rPr>
                <w:rFonts w:hint="eastAsia" w:ascii="黑体" w:hAnsi="黑体" w:eastAsia="黑体" w:cs="黑体"/>
                <w:color w:val="000000" w:themeColor="text1"/>
                <w:kern w:val="0"/>
                <w:sz w:val="20"/>
              </w:rPr>
              <w:t>要求</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color w:val="000000" w:themeColor="text1"/>
                <w:kern w:val="0"/>
                <w:sz w:val="20"/>
              </w:rPr>
              <w:t>★</w:t>
            </w:r>
          </w:p>
        </w:tc>
        <w:tc>
          <w:tcPr>
            <w:tcW w:w="267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采购一套“儿童健康管理平台”。平台软件模块包括：电子化门诊档案管理、个性化健康管理、专案管理（包含肥胖症专案、佝偻病专案、缺铁性营养不良专案、贫血专案等）、儿童综合评估管理，高危儿管理，营养膳食管理，宣讲管理，查询统计功能。</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企业</w:t>
            </w:r>
          </w:p>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kern w:val="0"/>
                <w:sz w:val="20"/>
              </w:rPr>
              <w:t>承诺</w:t>
            </w: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2</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黑体" w:eastAsia="黑体"/>
                <w:sz w:val="20"/>
              </w:rPr>
            </w:pPr>
            <w:r>
              <w:rPr>
                <w:rFonts w:hint="eastAsia" w:ascii="黑体" w:hAnsi="黑体" w:eastAsia="黑体"/>
                <w:sz w:val="20"/>
              </w:rPr>
              <w:t>电子化</w:t>
            </w:r>
          </w:p>
          <w:p>
            <w:pPr>
              <w:widowControl/>
              <w:spacing w:line="240" w:lineRule="exact"/>
              <w:jc w:val="center"/>
              <w:textAlignment w:val="center"/>
              <w:rPr>
                <w:rFonts w:ascii="黑体" w:hAnsi="黑体" w:eastAsia="黑体"/>
                <w:sz w:val="20"/>
              </w:rPr>
            </w:pPr>
            <w:r>
              <w:rPr>
                <w:rFonts w:hint="eastAsia" w:ascii="黑体" w:hAnsi="黑体" w:eastAsia="黑体"/>
                <w:sz w:val="20"/>
              </w:rPr>
              <w:t>门诊档案</w:t>
            </w:r>
          </w:p>
          <w:p>
            <w:pPr>
              <w:widowControl/>
              <w:spacing w:line="240" w:lineRule="exact"/>
              <w:jc w:val="center"/>
              <w:textAlignment w:val="center"/>
              <w:rPr>
                <w:rFonts w:ascii="黑体" w:hAnsi="黑体" w:eastAsia="黑体" w:cs="黑体"/>
                <w:color w:val="000000" w:themeColor="text1"/>
                <w:kern w:val="0"/>
                <w:sz w:val="20"/>
              </w:rPr>
            </w:pPr>
            <w:r>
              <w:rPr>
                <w:rFonts w:hint="eastAsia" w:ascii="黑体" w:hAnsi="黑体" w:eastAsia="黑体"/>
                <w:sz w:val="20"/>
              </w:rPr>
              <w:t>管理</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themeColor="text1"/>
                <w:kern w:val="0"/>
                <w:sz w:val="20"/>
              </w:rPr>
            </w:pPr>
          </w:p>
        </w:tc>
        <w:tc>
          <w:tcPr>
            <w:tcW w:w="267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档案管理，与his系统对接绑定患者在院唯一标识号。补充家庭信息，分娩信息，体检信息等。</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黑体" w:eastAsia="黑体" w:cs="黑体"/>
                <w:kern w:val="0"/>
                <w:sz w:val="20"/>
              </w:rPr>
            </w:pPr>
            <w:r>
              <w:rPr>
                <w:rFonts w:ascii="黑体" w:hAnsi="黑体" w:eastAsia="黑体" w:cs="黑体"/>
                <w:kern w:val="0"/>
                <w:sz w:val="20"/>
              </w:rPr>
              <w:t>3</w:t>
            </w:r>
          </w:p>
        </w:tc>
        <w:tc>
          <w:tcPr>
            <w:tcW w:w="4605"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个性化健康管理</w:t>
            </w: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3.1</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个人健康档案</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黑体" w:eastAsia="黑体" w:cs="宋体"/>
                <w:i/>
                <w:iCs/>
                <w:sz w:val="20"/>
              </w:rPr>
            </w:pPr>
          </w:p>
        </w:tc>
        <w:tc>
          <w:tcPr>
            <w:tcW w:w="267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为每个儿童建立个人健康档案，记录生长发育、疫苗接种、疾病史等信息，提供个性化的健康建议和管理方案。</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3.2</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生长</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监测</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黑体" w:hAnsi="黑体" w:eastAsia="黑体" w:cs="黑体"/>
                <w:iCs/>
                <w:sz w:val="20"/>
              </w:rPr>
            </w:pPr>
            <w:r>
              <w:rPr>
                <w:rFonts w:hint="eastAsia" w:ascii="黑体" w:hAnsi="黑体" w:eastAsia="黑体" w:cs="宋体"/>
                <w:iCs/>
                <w:kern w:val="0"/>
                <w:sz w:val="20"/>
              </w:rPr>
              <w:t>▲</w:t>
            </w:r>
          </w:p>
        </w:tc>
        <w:tc>
          <w:tcPr>
            <w:tcW w:w="267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通过定期收集儿童的身高、体重、头围等生长指标，绘制生长曲线。包含生长发育筛查、眼病筛查，骨密度筛查，视力筛查等，并具有复诊提醒功能。采用WHO标准和国标两种类型的量表，</w:t>
            </w:r>
            <w:r>
              <w:rPr>
                <w:rFonts w:ascii="黑体" w:hAnsi="宋体" w:eastAsia="黑体" w:cs="黑体"/>
                <w:kern w:val="0"/>
                <w:sz w:val="20"/>
              </w:rPr>
              <w:t>来</w:t>
            </w:r>
            <w:r>
              <w:rPr>
                <w:rFonts w:hint="eastAsia" w:ascii="黑体" w:hAnsi="宋体" w:eastAsia="黑体" w:cs="黑体"/>
                <w:kern w:val="0"/>
                <w:sz w:val="20"/>
              </w:rPr>
              <w:t>得出科学的生长发育检测与评价结果。</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企业</w:t>
            </w:r>
          </w:p>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kern w:val="0"/>
                <w:sz w:val="20"/>
              </w:rPr>
              <w:t>承诺</w:t>
            </w: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ascii="黑体" w:hAnsi="黑体" w:eastAsia="黑体" w:cs="黑体"/>
                <w:kern w:val="0"/>
                <w:sz w:val="20"/>
              </w:rPr>
              <w:t>4</w:t>
            </w:r>
          </w:p>
        </w:tc>
        <w:tc>
          <w:tcPr>
            <w:tcW w:w="4605" w:type="pct"/>
            <w:gridSpan w:val="7"/>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专案管理</w:t>
            </w: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4.1</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ascii="黑体" w:hAnsi="宋体" w:eastAsia="黑体" w:cs="黑体"/>
                <w:kern w:val="0"/>
                <w:sz w:val="20"/>
              </w:rPr>
              <w:t>专病</w:t>
            </w:r>
          </w:p>
          <w:p>
            <w:pPr>
              <w:widowControl/>
              <w:spacing w:line="240" w:lineRule="exact"/>
              <w:jc w:val="center"/>
              <w:textAlignment w:val="center"/>
              <w:rPr>
                <w:rFonts w:ascii="黑体" w:hAnsi="宋体" w:eastAsia="黑体" w:cs="黑体"/>
                <w:kern w:val="0"/>
                <w:sz w:val="20"/>
              </w:rPr>
            </w:pPr>
            <w:r>
              <w:rPr>
                <w:rFonts w:ascii="黑体" w:hAnsi="宋体" w:eastAsia="黑体" w:cs="黑体"/>
                <w:kern w:val="0"/>
                <w:sz w:val="20"/>
              </w:rPr>
              <w:t>专管</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包括肥胖症专案、佝偻病专案、缺铁性营养不良专案、贫血专案、脑瘫儿专案、高胆红素血症专案</w:t>
            </w:r>
            <w:r>
              <w:rPr>
                <w:rFonts w:ascii="黑体" w:hAnsi="宋体" w:eastAsia="黑体" w:cs="黑体"/>
                <w:kern w:val="0"/>
                <w:sz w:val="20"/>
              </w:rPr>
              <w:t>等</w:t>
            </w:r>
            <w:r>
              <w:rPr>
                <w:rFonts w:hint="eastAsia" w:ascii="黑体" w:hAnsi="宋体" w:eastAsia="黑体" w:cs="黑体"/>
                <w:kern w:val="0"/>
                <w:sz w:val="20"/>
              </w:rPr>
              <w:t>。实现专病专管，结构化电子病历。</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4.2</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ascii="黑体" w:hAnsi="宋体" w:eastAsia="黑体" w:cs="黑体"/>
                <w:kern w:val="0"/>
                <w:sz w:val="20"/>
              </w:rPr>
              <w:t>实时</w:t>
            </w:r>
          </w:p>
          <w:p>
            <w:pPr>
              <w:widowControl/>
              <w:spacing w:line="240" w:lineRule="exact"/>
              <w:jc w:val="center"/>
              <w:textAlignment w:val="center"/>
              <w:rPr>
                <w:rFonts w:ascii="黑体" w:hAnsi="宋体" w:eastAsia="黑体" w:cs="黑体"/>
                <w:kern w:val="0"/>
                <w:sz w:val="20"/>
              </w:rPr>
            </w:pPr>
            <w:r>
              <w:rPr>
                <w:rFonts w:ascii="黑体" w:hAnsi="宋体" w:eastAsia="黑体" w:cs="黑体"/>
                <w:kern w:val="0"/>
                <w:sz w:val="20"/>
              </w:rPr>
              <w:t>监测</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支持对就诊儿童发育情况和营养情况及时评估监测。</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ascii="黑体" w:hAnsi="黑体" w:eastAsia="黑体" w:cs="黑体"/>
                <w:sz w:val="20"/>
              </w:rPr>
              <w:t>5</w:t>
            </w:r>
          </w:p>
        </w:tc>
        <w:tc>
          <w:tcPr>
            <w:tcW w:w="4605" w:type="pct"/>
            <w:gridSpan w:val="7"/>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高危儿管理</w:t>
            </w: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5.1</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高危因素记录</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记录高危因素情况，记录高危因素级别。</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5.2</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高危儿</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随访</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支持高危儿童进行动态评判，营养指导，发育指导。支持随访记录。</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5.3</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专案监控管理</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针对不同疾病建立专案档案管理，进行多维度的数据采集、监控管理。</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ascii="黑体" w:hAnsi="黑体" w:eastAsia="黑体" w:cs="黑体"/>
                <w:sz w:val="20"/>
              </w:rPr>
              <w:t>6</w:t>
            </w:r>
          </w:p>
        </w:tc>
        <w:tc>
          <w:tcPr>
            <w:tcW w:w="4605" w:type="pct"/>
            <w:gridSpan w:val="7"/>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儿童综合评估系统</w:t>
            </w: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6.1</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量表涵盖范围</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纳入各年龄段不同维度的评估量表大于100个，包括智力，语言，心理，发育，运动类等</w:t>
            </w:r>
            <w:r>
              <w:rPr>
                <w:rFonts w:ascii="黑体" w:hAnsi="宋体" w:eastAsia="黑体" w:cs="黑体"/>
                <w:kern w:val="0"/>
                <w:sz w:val="20"/>
              </w:rPr>
              <w:t>。</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是</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企业</w:t>
            </w:r>
          </w:p>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kern w:val="0"/>
                <w:sz w:val="20"/>
              </w:rPr>
              <w:t>承诺</w:t>
            </w: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6.2</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核心</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量表</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系统内置常用模板。并可根据输入的数据自动生成评估报告，得出结论。量表必须包含：智能化粗大运动功能评估，精细运动功能评估，粗大精细运动发育评估，蕾妮氏语言发育评估，象征性游戏测试评估，格塞尔婴幼儿发展评估量表等</w:t>
            </w:r>
            <w:r>
              <w:rPr>
                <w:rFonts w:ascii="黑体" w:hAnsi="宋体" w:eastAsia="黑体" w:cs="黑体"/>
                <w:kern w:val="0"/>
                <w:sz w:val="20"/>
              </w:rPr>
              <w:t>。</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企业</w:t>
            </w:r>
          </w:p>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kern w:val="0"/>
                <w:sz w:val="20"/>
              </w:rPr>
              <w:t>承诺</w:t>
            </w: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6.3</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评估</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方式</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根据量表特色及评估师的熟练程度包含≥5种评估方式，包括但不限于：简约评估、详细评估、表单评估、丹佛发育筛查测验专有评估、格塞尔发展量表专有评估等。</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6.4</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评估干预计划</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 xml:space="preserve">系统内置常用模板。支持粗大或者精细运动功能评估可以根据评估报告自动生成干预计划（不少于80个干预项目）；其中每个干预需包含训练目标和训练方法详细说明。 </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是</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ascii="黑体" w:hAnsi="黑体" w:eastAsia="黑体" w:cs="黑体"/>
                <w:sz w:val="20"/>
              </w:rPr>
              <w:t>7</w:t>
            </w:r>
          </w:p>
        </w:tc>
        <w:tc>
          <w:tcPr>
            <w:tcW w:w="4605" w:type="pct"/>
            <w:gridSpan w:val="7"/>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膳食营养管理</w:t>
            </w: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7.1</w:t>
            </w:r>
          </w:p>
        </w:tc>
        <w:tc>
          <w:tcPr>
            <w:tcW w:w="630" w:type="pct"/>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营养</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评估</w:t>
            </w:r>
          </w:p>
        </w:tc>
        <w:tc>
          <w:tcPr>
            <w:tcW w:w="386" w:type="pct"/>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color w:val="000000" w:themeColor="text1"/>
                <w:kern w:val="0"/>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带有营养筛查量表，支持营养膳食分析</w:t>
            </w:r>
            <w:r>
              <w:rPr>
                <w:rFonts w:ascii="黑体" w:hAnsi="宋体" w:eastAsia="黑体" w:cs="黑体"/>
                <w:kern w:val="0"/>
                <w:sz w:val="20"/>
              </w:rPr>
              <w:t>。</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7.2</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24</w:t>
            </w:r>
            <w:r>
              <w:rPr>
                <w:rFonts w:ascii="黑体" w:hAnsi="宋体" w:eastAsia="黑体" w:cs="黑体"/>
                <w:kern w:val="0"/>
                <w:sz w:val="20"/>
              </w:rPr>
              <w:t>H</w:t>
            </w:r>
            <w:r>
              <w:rPr>
                <w:rFonts w:hint="eastAsia" w:ascii="黑体" w:hAnsi="宋体" w:eastAsia="黑体" w:cs="黑体"/>
                <w:kern w:val="0"/>
                <w:sz w:val="20"/>
              </w:rPr>
              <w:t>膳调配餐</w:t>
            </w:r>
          </w:p>
        </w:tc>
        <w:tc>
          <w:tcPr>
            <w:tcW w:w="386" w:type="pct"/>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color w:val="000000" w:themeColor="text1"/>
                <w:kern w:val="0"/>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支持24H膳调配餐。根据食物营养的摄入及摄入量制定食谱。</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8</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宣讲</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管理</w:t>
            </w:r>
          </w:p>
        </w:tc>
        <w:tc>
          <w:tcPr>
            <w:tcW w:w="386" w:type="pct"/>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color w:val="000000" w:themeColor="text1"/>
                <w:kern w:val="0"/>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内置常用模板，并可根据内容实时更新。</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9</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保健指导建议</w:t>
            </w:r>
          </w:p>
        </w:tc>
        <w:tc>
          <w:tcPr>
            <w:tcW w:w="386" w:type="pct"/>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color w:val="000000" w:themeColor="text1"/>
                <w:kern w:val="0"/>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内置常用模板，并可根据内容实时更新。</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10</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家庭康复建议</w:t>
            </w:r>
          </w:p>
        </w:tc>
        <w:tc>
          <w:tcPr>
            <w:tcW w:w="386" w:type="pct"/>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color w:val="000000" w:themeColor="text1"/>
                <w:kern w:val="0"/>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内置常用模板，并可根据内容实时更新。</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11</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预警提醒功能</w:t>
            </w:r>
          </w:p>
        </w:tc>
        <w:tc>
          <w:tcPr>
            <w:tcW w:w="386" w:type="pct"/>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color w:val="000000" w:themeColor="text1"/>
                <w:kern w:val="0"/>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具有高危风险异常报告提醒功能。</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12</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查询统计功能</w:t>
            </w:r>
          </w:p>
        </w:tc>
        <w:tc>
          <w:tcPr>
            <w:tcW w:w="386" w:type="pct"/>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color w:val="000000" w:themeColor="text1"/>
                <w:kern w:val="0"/>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可以根据不同的查询条件，生成符合实际需求的查询结果。并根据建设方要求，提供相应查询界面。</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13</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HIS系统对接</w:t>
            </w:r>
          </w:p>
        </w:tc>
        <w:tc>
          <w:tcPr>
            <w:tcW w:w="386" w:type="pct"/>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color w:val="000000" w:themeColor="text1"/>
                <w:kern w:val="0"/>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与医院HIS系统无缝对接，自动获取接口数据。如院方HIS系统更换，需免费重新对接</w:t>
            </w:r>
            <w:r>
              <w:rPr>
                <w:rFonts w:ascii="黑体" w:hAnsi="宋体" w:eastAsia="黑体" w:cs="黑体"/>
                <w:kern w:val="0"/>
                <w:sz w:val="20"/>
              </w:rPr>
              <w:t>。</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olor w:val="000000"/>
                <w:sz w:val="20"/>
              </w:rPr>
            </w:pPr>
            <w:r>
              <w:rPr>
                <w:rFonts w:hint="eastAsia" w:ascii="黑体" w:hAnsi="黑体" w:eastAsia="黑体"/>
                <w:color w:val="000000"/>
                <w:sz w:val="20"/>
              </w:rPr>
              <w:t>14</w:t>
            </w:r>
          </w:p>
        </w:tc>
        <w:tc>
          <w:tcPr>
            <w:tcW w:w="4605" w:type="pct"/>
            <w:gridSpan w:val="7"/>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数据管理</w:t>
            </w: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olor w:val="000000"/>
                <w:sz w:val="20"/>
              </w:rPr>
              <w:t>14.1</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密码</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交付</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要求数据库管理员用户密码交付信息科。</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黑体" w:eastAsia="黑体"/>
                <w:color w:val="000000"/>
                <w:sz w:val="20"/>
              </w:rPr>
              <w:t>14.2</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备份</w:t>
            </w:r>
          </w:p>
          <w:p>
            <w:pPr>
              <w:widowControl/>
              <w:spacing w:line="240" w:lineRule="exact"/>
              <w:jc w:val="center"/>
              <w:textAlignment w:val="center"/>
              <w:rPr>
                <w:rFonts w:ascii="黑体" w:hAnsi="宋体" w:eastAsia="黑体" w:cs="黑体"/>
                <w:kern w:val="0"/>
                <w:sz w:val="20"/>
              </w:rPr>
            </w:pPr>
            <w:r>
              <w:rPr>
                <w:rFonts w:ascii="黑体" w:hAnsi="宋体" w:eastAsia="黑体" w:cs="黑体"/>
                <w:kern w:val="0"/>
                <w:sz w:val="20"/>
              </w:rPr>
              <w:t>安全</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须提供数据备份机制、数据重建机制由信息科审核。</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黑体" w:eastAsia="黑体"/>
                <w:color w:val="000000"/>
                <w:sz w:val="20"/>
              </w:rPr>
              <w:t>14.3</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容灾平台</w:t>
            </w:r>
            <w:r>
              <w:rPr>
                <w:rFonts w:ascii="黑体" w:hAnsi="宋体" w:eastAsia="黑体" w:cs="黑体"/>
                <w:kern w:val="0"/>
                <w:sz w:val="20"/>
              </w:rPr>
              <w:t>管理</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须根据院方要求配合将数据库纳入容灾平台、离线备份平台、数据库监控平台、数据资源体系平台。</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p>
        </w:tc>
      </w:tr>
      <w:tr>
        <w:tblPrEx>
          <w:tblCellMar>
            <w:top w:w="0" w:type="dxa"/>
            <w:left w:w="108" w:type="dxa"/>
            <w:bottom w:w="0" w:type="dxa"/>
            <w:right w:w="108" w:type="dxa"/>
          </w:tblCellMar>
        </w:tblPrEx>
        <w:trPr>
          <w:trHeight w:val="896"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黑体" w:eastAsia="黑体"/>
                <w:color w:val="000000"/>
                <w:sz w:val="20"/>
              </w:rPr>
              <w:t>14.4</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交付</w:t>
            </w:r>
          </w:p>
          <w:p>
            <w:pPr>
              <w:widowControl/>
              <w:spacing w:line="240" w:lineRule="exact"/>
              <w:jc w:val="center"/>
              <w:textAlignment w:val="center"/>
              <w:rPr>
                <w:rFonts w:ascii="黑体" w:hAnsi="宋体" w:eastAsia="黑体" w:cs="黑体"/>
                <w:kern w:val="0"/>
                <w:sz w:val="20"/>
              </w:rPr>
            </w:pPr>
            <w:r>
              <w:rPr>
                <w:rFonts w:ascii="黑体" w:hAnsi="宋体" w:eastAsia="黑体" w:cs="黑体"/>
                <w:kern w:val="0"/>
                <w:sz w:val="20"/>
              </w:rPr>
              <w:t>信息</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要求系统上线后，医疗相关数据项的数据结构或字段说明性文件交付信息科，并随系统升级更新交付。</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r>
      <w:tr>
        <w:tblPrEx>
          <w:tblCellMar>
            <w:top w:w="0" w:type="dxa"/>
            <w:left w:w="108" w:type="dxa"/>
            <w:bottom w:w="0" w:type="dxa"/>
            <w:right w:w="108" w:type="dxa"/>
          </w:tblCellMar>
        </w:tblPrEx>
        <w:trPr>
          <w:trHeight w:val="699"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olor w:val="000000"/>
                <w:sz w:val="20"/>
              </w:rPr>
            </w:pPr>
            <w:r>
              <w:rPr>
                <w:rFonts w:hint="eastAsia" w:ascii="黑体" w:hAnsi="黑体" w:eastAsia="黑体"/>
                <w:color w:val="000000"/>
                <w:sz w:val="20"/>
              </w:rPr>
              <w:t>14.5</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存储</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介质</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所有存有院方数据的存储介质不予返还。</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r>
      <w:tr>
        <w:tblPrEx>
          <w:tblCellMar>
            <w:top w:w="0" w:type="dxa"/>
            <w:left w:w="108" w:type="dxa"/>
            <w:bottom w:w="0" w:type="dxa"/>
            <w:right w:w="108" w:type="dxa"/>
          </w:tblCellMar>
        </w:tblPrEx>
        <w:trPr>
          <w:trHeight w:val="709"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olor w:val="000000"/>
                <w:sz w:val="20"/>
              </w:rPr>
            </w:pPr>
            <w:r>
              <w:rPr>
                <w:rFonts w:hint="eastAsia" w:ascii="黑体" w:hAnsi="黑体" w:eastAsia="黑体"/>
                <w:color w:val="000000"/>
                <w:sz w:val="20"/>
              </w:rPr>
              <w:t>14.6</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数据管理模式</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数据库运维人员需在信息科报备，签署相关保密协议，并纳入信息科数管统一管理。</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r>
      <w:tr>
        <w:tblPrEx>
          <w:tblCellMar>
            <w:top w:w="0" w:type="dxa"/>
            <w:left w:w="108" w:type="dxa"/>
            <w:bottom w:w="0" w:type="dxa"/>
            <w:right w:w="108" w:type="dxa"/>
          </w:tblCellMar>
        </w:tblPrEx>
        <w:trPr>
          <w:trHeight w:val="407"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olor w:val="000000"/>
                <w:sz w:val="20"/>
              </w:rPr>
            </w:pPr>
            <w:r>
              <w:rPr>
                <w:rFonts w:hint="eastAsia" w:ascii="黑体" w:hAnsi="黑体" w:eastAsia="黑体"/>
                <w:color w:val="000000"/>
                <w:sz w:val="20"/>
              </w:rPr>
              <w:t>15</w:t>
            </w:r>
          </w:p>
        </w:tc>
        <w:tc>
          <w:tcPr>
            <w:tcW w:w="4605" w:type="pct"/>
            <w:gridSpan w:val="7"/>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综合实力</w:t>
            </w:r>
          </w:p>
        </w:tc>
      </w:tr>
      <w:tr>
        <w:tblPrEx>
          <w:tblCellMar>
            <w:top w:w="0" w:type="dxa"/>
            <w:left w:w="108" w:type="dxa"/>
            <w:bottom w:w="0" w:type="dxa"/>
            <w:right w:w="108" w:type="dxa"/>
          </w:tblCellMar>
        </w:tblPrEx>
        <w:trPr>
          <w:trHeight w:val="542"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olor w:val="000000"/>
                <w:sz w:val="20"/>
              </w:rPr>
            </w:pPr>
            <w:r>
              <w:rPr>
                <w:rFonts w:hint="eastAsia" w:ascii="黑体" w:hAnsi="黑体" w:eastAsia="黑体"/>
                <w:color w:val="000000"/>
                <w:sz w:val="20"/>
              </w:rPr>
              <w:t>15.1</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业绩</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情况</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黑体" w:hAnsi="宋体" w:eastAsia="黑体" w:cs="黑体"/>
                <w:kern w:val="0"/>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黑体" w:hAnsi="宋体" w:eastAsia="黑体" w:cs="黑体"/>
                <w:kern w:val="0"/>
                <w:sz w:val="20"/>
              </w:rPr>
            </w:pPr>
            <w:r>
              <w:rPr>
                <w:rFonts w:hint="eastAsia" w:ascii="黑体" w:hAnsi="宋体" w:eastAsia="黑体" w:cs="黑体"/>
                <w:kern w:val="0"/>
                <w:sz w:val="20"/>
              </w:rPr>
              <w:t>提供近三年，不少于3家三级医院案例合同。</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r>
      <w:tr>
        <w:tblPrEx>
          <w:tblCellMar>
            <w:top w:w="0" w:type="dxa"/>
            <w:left w:w="108" w:type="dxa"/>
            <w:bottom w:w="0" w:type="dxa"/>
            <w:right w:w="108" w:type="dxa"/>
          </w:tblCellMar>
        </w:tblPrEx>
        <w:trPr>
          <w:trHeight w:val="55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olor w:val="000000"/>
                <w:sz w:val="20"/>
              </w:rPr>
            </w:pPr>
            <w:r>
              <w:rPr>
                <w:rFonts w:hint="eastAsia" w:ascii="黑体" w:hAnsi="黑体" w:eastAsia="黑体"/>
                <w:color w:val="000000"/>
                <w:sz w:val="20"/>
              </w:rPr>
              <w:t>15.2</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企业</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要求</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黑体" w:hAnsi="宋体" w:eastAsia="黑体" w:cs="黑体"/>
                <w:kern w:val="0"/>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rPr>
                <w:rFonts w:ascii="黑体" w:hAnsi="宋体" w:eastAsia="黑体" w:cs="黑体"/>
                <w:kern w:val="0"/>
                <w:sz w:val="20"/>
              </w:rPr>
            </w:pPr>
            <w:r>
              <w:rPr>
                <w:rFonts w:hint="eastAsia" w:ascii="黑体" w:hAnsi="宋体" w:eastAsia="黑体" w:cs="黑体"/>
                <w:kern w:val="0"/>
                <w:sz w:val="20"/>
              </w:rPr>
              <w:t>提供与本次投标产品相关的专利或软件著作权证书。</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r>
      <w:tr>
        <w:tblPrEx>
          <w:tblCellMar>
            <w:top w:w="0" w:type="dxa"/>
            <w:left w:w="108" w:type="dxa"/>
            <w:bottom w:w="0" w:type="dxa"/>
            <w:right w:w="108" w:type="dxa"/>
          </w:tblCellMar>
        </w:tblPrEx>
        <w:trPr>
          <w:trHeight w:val="7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olor w:val="000000"/>
                <w:sz w:val="20"/>
              </w:rPr>
            </w:pPr>
            <w:r>
              <w:rPr>
                <w:rFonts w:hint="eastAsia" w:ascii="黑体" w:hAnsi="黑体" w:eastAsia="黑体"/>
                <w:color w:val="000000"/>
                <w:sz w:val="20"/>
              </w:rPr>
              <w:t>15.3</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售后</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要求</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黑体" w:hAnsi="宋体" w:eastAsia="黑体" w:cs="黑体"/>
                <w:kern w:val="0"/>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r>
              <w:rPr>
                <w:rFonts w:hint="eastAsia" w:ascii="黑体" w:hAnsi="黑体" w:eastAsia="黑体"/>
                <w:color w:val="000000"/>
                <w:kern w:val="0"/>
                <w:sz w:val="20"/>
              </w:rPr>
              <w:t>要求投标</w:t>
            </w:r>
            <w:r>
              <w:rPr>
                <w:rFonts w:ascii="黑体" w:hAnsi="黑体" w:eastAsia="黑体"/>
                <w:color w:val="000000"/>
                <w:kern w:val="0"/>
                <w:sz w:val="20"/>
              </w:rPr>
              <w:t>方具备</w:t>
            </w:r>
            <w:r>
              <w:rPr>
                <w:rFonts w:hint="eastAsia" w:ascii="黑体" w:hAnsi="黑体" w:eastAsia="黑体"/>
                <w:color w:val="000000"/>
                <w:kern w:val="0"/>
                <w:sz w:val="20"/>
              </w:rPr>
              <w:t>售后服务点,提供至少2名售后服务工程师名单。</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是</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r>
      <w:tr>
        <w:tblPrEx>
          <w:tblCellMar>
            <w:top w:w="0" w:type="dxa"/>
            <w:left w:w="108" w:type="dxa"/>
            <w:bottom w:w="0" w:type="dxa"/>
            <w:right w:w="108" w:type="dxa"/>
          </w:tblCellMar>
        </w:tblPrEx>
        <w:trPr>
          <w:trHeight w:val="556"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olor w:val="000000"/>
                <w:sz w:val="20"/>
              </w:rPr>
            </w:pPr>
            <w:r>
              <w:rPr>
                <w:rFonts w:hint="eastAsia" w:ascii="黑体" w:hAnsi="黑体" w:eastAsia="黑体"/>
                <w:color w:val="000000"/>
                <w:sz w:val="20"/>
              </w:rPr>
              <w:t>16</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验收</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方法</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黑体" w:hAnsi="宋体" w:eastAsia="黑体" w:cs="黑体"/>
                <w:kern w:val="0"/>
                <w:sz w:val="20"/>
              </w:rPr>
            </w:pP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r>
              <w:rPr>
                <w:rFonts w:hint="eastAsia" w:ascii="黑体" w:hAnsi="黑体" w:eastAsia="黑体"/>
                <w:kern w:val="0"/>
                <w:sz w:val="20"/>
              </w:rPr>
              <w:t>按照院方卫生信息化项目验收管理办法验收。</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r>
      <w:tr>
        <w:tblPrEx>
          <w:tblCellMar>
            <w:top w:w="0" w:type="dxa"/>
            <w:left w:w="108" w:type="dxa"/>
            <w:bottom w:w="0" w:type="dxa"/>
            <w:right w:w="108" w:type="dxa"/>
          </w:tblCellMar>
        </w:tblPrEx>
        <w:trPr>
          <w:trHeight w:val="500" w:hRule="atLeast"/>
        </w:trPr>
        <w:tc>
          <w:tcPr>
            <w:tcW w:w="5000" w:type="pct"/>
            <w:gridSpan w:val="8"/>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经济要求</w:t>
            </w:r>
          </w:p>
        </w:tc>
      </w:tr>
      <w:tr>
        <w:tblPrEx>
          <w:tblCellMar>
            <w:top w:w="0" w:type="dxa"/>
            <w:left w:w="108" w:type="dxa"/>
            <w:bottom w:w="0" w:type="dxa"/>
            <w:right w:w="108" w:type="dxa"/>
          </w:tblCellMar>
        </w:tblPrEx>
        <w:trPr>
          <w:trHeight w:val="499"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交货时间地点</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color w:val="000000" w:themeColor="text1"/>
                <w:kern w:val="0"/>
                <w:sz w:val="20"/>
              </w:rPr>
              <w:t>★</w:t>
            </w: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黑体" w:hAnsi="宋体" w:eastAsia="黑体" w:cs="黑体"/>
                <w:kern w:val="0"/>
                <w:sz w:val="20"/>
              </w:rPr>
              <w:t>合同签订后</w:t>
            </w:r>
            <w:r>
              <w:rPr>
                <w:rFonts w:ascii="黑体" w:hAnsi="宋体" w:eastAsia="黑体" w:cs="黑体"/>
                <w:kern w:val="0"/>
                <w:sz w:val="20"/>
              </w:rPr>
              <w:t>6</w:t>
            </w:r>
            <w:r>
              <w:rPr>
                <w:rFonts w:hint="eastAsia" w:ascii="黑体" w:hAnsi="宋体" w:eastAsia="黑体" w:cs="黑体"/>
                <w:kern w:val="0"/>
                <w:sz w:val="20"/>
              </w:rPr>
              <w:t>个月内交付，交付地点由甲方指定</w:t>
            </w:r>
            <w:r>
              <w:rPr>
                <w:rFonts w:ascii="黑体" w:hAnsi="宋体" w:eastAsia="黑体" w:cs="黑体"/>
                <w:kern w:val="0"/>
                <w:sz w:val="20"/>
              </w:rPr>
              <w:t>。</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企业</w:t>
            </w:r>
          </w:p>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承诺</w:t>
            </w:r>
          </w:p>
        </w:tc>
      </w:tr>
      <w:tr>
        <w:tblPrEx>
          <w:tblCellMar>
            <w:top w:w="0" w:type="dxa"/>
            <w:left w:w="108" w:type="dxa"/>
            <w:bottom w:w="0" w:type="dxa"/>
            <w:right w:w="108" w:type="dxa"/>
          </w:tblCellMar>
        </w:tblPrEx>
        <w:trPr>
          <w:trHeight w:val="499"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2</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付款及</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结算方式</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w:t>
            </w: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黑体" w:hAnsi="宋体" w:eastAsia="黑体" w:cs="黑体"/>
                <w:kern w:val="0"/>
                <w:sz w:val="20"/>
              </w:rPr>
              <w:t>签订合同且安装软件后付</w:t>
            </w:r>
            <w:r>
              <w:rPr>
                <w:rFonts w:hint="eastAsia" w:ascii="黑体" w:hAnsi="黑体" w:eastAsia="黑体" w:cs="黑体"/>
                <w:kern w:val="0"/>
                <w:sz w:val="20"/>
              </w:rPr>
              <w:t>合同总金额的</w:t>
            </w:r>
            <w:r>
              <w:rPr>
                <w:rFonts w:hint="eastAsia" w:ascii="黑体" w:hAnsi="宋体" w:eastAsia="黑体" w:cs="黑体"/>
                <w:kern w:val="0"/>
                <w:sz w:val="20"/>
              </w:rPr>
              <w:t>30%，验收合格后付</w:t>
            </w:r>
            <w:r>
              <w:rPr>
                <w:rFonts w:hint="eastAsia" w:ascii="黑体" w:hAnsi="黑体" w:eastAsia="黑体" w:cs="黑体"/>
                <w:kern w:val="0"/>
                <w:sz w:val="20"/>
              </w:rPr>
              <w:t>合同总金额的</w:t>
            </w:r>
            <w:r>
              <w:rPr>
                <w:rFonts w:hint="eastAsia" w:ascii="黑体" w:hAnsi="宋体" w:eastAsia="黑体" w:cs="黑体"/>
                <w:kern w:val="0"/>
                <w:sz w:val="20"/>
              </w:rPr>
              <w:t>65%。</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企业</w:t>
            </w:r>
          </w:p>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承诺</w:t>
            </w:r>
          </w:p>
        </w:tc>
      </w:tr>
      <w:tr>
        <w:tblPrEx>
          <w:tblCellMar>
            <w:top w:w="0" w:type="dxa"/>
            <w:left w:w="108" w:type="dxa"/>
            <w:bottom w:w="0" w:type="dxa"/>
            <w:right w:w="108" w:type="dxa"/>
          </w:tblCellMar>
        </w:tblPrEx>
        <w:trPr>
          <w:trHeight w:val="454"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ascii="黑体" w:hAnsi="宋体" w:eastAsia="黑体" w:cs="黑体"/>
                <w:kern w:val="0"/>
                <w:sz w:val="20"/>
              </w:rPr>
              <w:t>履约保证金/</w:t>
            </w:r>
            <w:r>
              <w:rPr>
                <w:rFonts w:hint="eastAsia" w:ascii="黑体" w:hAnsi="宋体" w:eastAsia="黑体" w:cs="黑体"/>
                <w:kern w:val="0"/>
                <w:sz w:val="20"/>
              </w:rPr>
              <w:t>质量</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保证金</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jc w:val="left"/>
              <w:rPr>
                <w:rFonts w:ascii="黑体" w:hAnsi="宋体" w:eastAsia="黑体" w:cs="黑体"/>
                <w:kern w:val="0"/>
                <w:sz w:val="20"/>
              </w:rPr>
            </w:pPr>
            <w:r>
              <w:rPr>
                <w:rFonts w:hint="eastAsia" w:ascii="黑体" w:hAnsi="宋体" w:eastAsia="黑体" w:cs="黑体"/>
                <w:kern w:val="0"/>
                <w:sz w:val="20"/>
              </w:rPr>
              <w:t>验收合格满一年后，支付合同总金额的5%。</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企业</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承诺</w:t>
            </w:r>
          </w:p>
        </w:tc>
      </w:tr>
      <w:tr>
        <w:tblPrEx>
          <w:tblCellMar>
            <w:top w:w="0" w:type="dxa"/>
            <w:left w:w="108" w:type="dxa"/>
            <w:bottom w:w="0" w:type="dxa"/>
            <w:right w:w="108" w:type="dxa"/>
          </w:tblCellMar>
        </w:tblPrEx>
        <w:trPr>
          <w:trHeight w:val="454"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4</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产品包装和运输</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要求</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w:t>
            </w: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按照国家、行业相关标准规范，产品确保包装完好，运输确保不对产品造成损伤</w:t>
            </w:r>
            <w:r>
              <w:rPr>
                <w:rFonts w:ascii="黑体" w:hAnsi="宋体" w:eastAsia="黑体" w:cs="黑体"/>
                <w:kern w:val="0"/>
                <w:sz w:val="20"/>
              </w:rPr>
              <w:t>。</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企业</w:t>
            </w:r>
          </w:p>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承诺</w:t>
            </w: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5</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售后</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服务1</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（质保）</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w:t>
            </w: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黑体" w:hAnsi="宋体" w:eastAsia="黑体" w:cs="黑体"/>
                <w:kern w:val="0"/>
                <w:sz w:val="20"/>
              </w:rPr>
              <w:t>软硬件</w:t>
            </w:r>
            <w:r>
              <w:rPr>
                <w:rFonts w:ascii="黑体" w:hAnsi="宋体" w:eastAsia="黑体" w:cs="黑体"/>
                <w:kern w:val="0"/>
                <w:sz w:val="20"/>
              </w:rPr>
              <w:t>质保期</w:t>
            </w:r>
            <w:r>
              <w:rPr>
                <w:rFonts w:hint="eastAsia" w:ascii="黑体" w:hAnsi="宋体" w:eastAsia="黑体" w:cs="黑体"/>
                <w:kern w:val="0"/>
                <w:sz w:val="20"/>
              </w:rPr>
              <w:t>年限不低于3年</w:t>
            </w:r>
            <w:r>
              <w:rPr>
                <w:rFonts w:ascii="黑体" w:hAnsi="宋体" w:eastAsia="黑体" w:cs="黑体"/>
                <w:kern w:val="0"/>
                <w:sz w:val="20"/>
              </w:rPr>
              <w:t>。</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企业</w:t>
            </w:r>
          </w:p>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承诺</w:t>
            </w:r>
            <w:r>
              <w:rPr>
                <w:rFonts w:ascii="黑体" w:hAnsi="宋体" w:eastAsia="黑体" w:cs="黑体"/>
                <w:kern w:val="0"/>
                <w:sz w:val="20"/>
              </w:rPr>
              <w:t xml:space="preserve"> </w:t>
            </w:r>
          </w:p>
        </w:tc>
      </w:tr>
      <w:tr>
        <w:tblPrEx>
          <w:tblCellMar>
            <w:top w:w="0" w:type="dxa"/>
            <w:left w:w="108" w:type="dxa"/>
            <w:bottom w:w="0" w:type="dxa"/>
            <w:right w:w="108" w:type="dxa"/>
          </w:tblCellMar>
        </w:tblPrEx>
        <w:trPr>
          <w:trHeight w:val="499"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6</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售后</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服务2</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（质保）</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w:t>
            </w: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黑体" w:hAnsi="宋体" w:eastAsia="黑体" w:cs="黑体"/>
                <w:kern w:val="0"/>
                <w:sz w:val="20"/>
              </w:rPr>
              <w:t>每年不少于4次的巡检服务并提供巡检报告</w:t>
            </w:r>
            <w:r>
              <w:rPr>
                <w:rFonts w:ascii="黑体" w:hAnsi="宋体" w:eastAsia="黑体" w:cs="黑体"/>
                <w:kern w:val="0"/>
                <w:sz w:val="20"/>
              </w:rPr>
              <w:t>。</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企业</w:t>
            </w:r>
          </w:p>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承诺</w:t>
            </w:r>
          </w:p>
        </w:tc>
      </w:tr>
      <w:tr>
        <w:tblPrEx>
          <w:tblCellMar>
            <w:top w:w="0" w:type="dxa"/>
            <w:left w:w="108" w:type="dxa"/>
            <w:bottom w:w="0" w:type="dxa"/>
            <w:right w:w="108" w:type="dxa"/>
          </w:tblCellMar>
        </w:tblPrEx>
        <w:trPr>
          <w:trHeight w:val="499"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7</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售后</w:t>
            </w:r>
          </w:p>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服务3</w:t>
            </w:r>
          </w:p>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（质保）</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w:t>
            </w: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厂家工程师上门培训不少于3次</w:t>
            </w:r>
            <w:r>
              <w:rPr>
                <w:rFonts w:ascii="黑体" w:hAnsi="宋体" w:eastAsia="黑体" w:cs="黑体"/>
                <w:kern w:val="0"/>
                <w:sz w:val="20"/>
              </w:rPr>
              <w:t>。</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企业</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承诺</w:t>
            </w:r>
          </w:p>
        </w:tc>
      </w:tr>
      <w:tr>
        <w:tblPrEx>
          <w:tblCellMar>
            <w:top w:w="0" w:type="dxa"/>
            <w:left w:w="108" w:type="dxa"/>
            <w:bottom w:w="0" w:type="dxa"/>
            <w:right w:w="108" w:type="dxa"/>
          </w:tblCellMar>
        </w:tblPrEx>
        <w:trPr>
          <w:trHeight w:val="499"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8</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售后</w:t>
            </w:r>
          </w:p>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服务4</w:t>
            </w:r>
          </w:p>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（响应时间）</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w:t>
            </w: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ascii="黑体" w:hAnsi="宋体" w:eastAsia="黑体" w:cs="黑体"/>
                <w:kern w:val="0"/>
                <w:sz w:val="20"/>
              </w:rPr>
              <w:t>质保期</w:t>
            </w:r>
            <w:r>
              <w:rPr>
                <w:rFonts w:hint="eastAsia" w:ascii="黑体" w:hAnsi="宋体" w:eastAsia="黑体" w:cs="黑体"/>
                <w:kern w:val="0"/>
                <w:sz w:val="20"/>
              </w:rPr>
              <w:t>内出现紧急故障情况，公司应在收到服务请求后不低于30分钟内响应，不低于4小时内解决问题，若4小时内无法解决的硬件问题应及时提供相应的备用设备。提供7×24小时热线电话支持服务，负责提供技术问题的解答和技术指导</w:t>
            </w:r>
            <w:r>
              <w:rPr>
                <w:rFonts w:ascii="黑体" w:hAnsi="宋体" w:eastAsia="黑体" w:cs="黑体"/>
                <w:kern w:val="0"/>
                <w:sz w:val="20"/>
              </w:rPr>
              <w:t>。</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企业</w:t>
            </w:r>
          </w:p>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承诺</w:t>
            </w:r>
          </w:p>
        </w:tc>
      </w:tr>
      <w:tr>
        <w:tblPrEx>
          <w:tblCellMar>
            <w:top w:w="0" w:type="dxa"/>
            <w:left w:w="108" w:type="dxa"/>
            <w:bottom w:w="0" w:type="dxa"/>
            <w:right w:w="108" w:type="dxa"/>
          </w:tblCellMar>
        </w:tblPrEx>
        <w:trPr>
          <w:trHeight w:val="72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9</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备品备件要求</w:t>
            </w:r>
          </w:p>
          <w:p>
            <w:pPr>
              <w:widowControl/>
              <w:spacing w:line="240" w:lineRule="exact"/>
              <w:jc w:val="center"/>
              <w:textAlignment w:val="center"/>
              <w:rPr>
                <w:rFonts w:ascii="黑体" w:hAnsi="黑体" w:eastAsia="黑体" w:cs="黑体"/>
                <w:kern w:val="0"/>
                <w:sz w:val="20"/>
              </w:rPr>
            </w:pPr>
            <w:r>
              <w:rPr>
                <w:rFonts w:ascii="黑体" w:hAnsi="黑体" w:eastAsia="黑体" w:cs="黑体"/>
                <w:kern w:val="0"/>
                <w:sz w:val="20"/>
              </w:rPr>
              <w:t>(</w:t>
            </w:r>
            <w:r>
              <w:rPr>
                <w:rFonts w:hint="eastAsia" w:ascii="黑体" w:hAnsi="黑体" w:eastAsia="黑体" w:cs="黑体"/>
                <w:kern w:val="0"/>
                <w:sz w:val="20"/>
              </w:rPr>
              <w:t>零配件）</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w:t>
            </w: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提供维修及配件服务，提供软件免费升级和维护</w:t>
            </w:r>
            <w:r>
              <w:rPr>
                <w:rFonts w:ascii="黑体" w:hAnsi="宋体" w:eastAsia="黑体" w:cs="黑体"/>
                <w:kern w:val="0"/>
                <w:sz w:val="20"/>
              </w:rPr>
              <w:t>。</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企业</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承诺</w:t>
            </w:r>
          </w:p>
        </w:tc>
      </w:tr>
      <w:tr>
        <w:tblPrEx>
          <w:tblCellMar>
            <w:top w:w="0" w:type="dxa"/>
            <w:left w:w="108" w:type="dxa"/>
            <w:bottom w:w="0" w:type="dxa"/>
            <w:right w:w="108" w:type="dxa"/>
          </w:tblCellMar>
        </w:tblPrEx>
        <w:trPr>
          <w:trHeight w:val="499"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10</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专用</w:t>
            </w:r>
          </w:p>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工具</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w:t>
            </w: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提供配套专修工具和使用工具，无专用维修工具，可提供维护使用手册</w:t>
            </w:r>
            <w:r>
              <w:rPr>
                <w:rFonts w:ascii="黑体" w:hAnsi="宋体" w:eastAsia="黑体" w:cs="黑体"/>
                <w:kern w:val="0"/>
                <w:sz w:val="20"/>
              </w:rPr>
              <w:t>。</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企业</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承诺</w:t>
            </w:r>
          </w:p>
        </w:tc>
      </w:tr>
      <w:tr>
        <w:tblPrEx>
          <w:tblCellMar>
            <w:top w:w="0" w:type="dxa"/>
            <w:left w:w="108" w:type="dxa"/>
            <w:bottom w:w="0" w:type="dxa"/>
            <w:right w:w="108" w:type="dxa"/>
          </w:tblCellMar>
        </w:tblPrEx>
        <w:trPr>
          <w:trHeight w:val="500" w:hRule="atLeast"/>
        </w:trPr>
        <w:tc>
          <w:tcPr>
            <w:tcW w:w="3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w:t>
            </w:r>
            <w:r>
              <w:rPr>
                <w:rFonts w:ascii="黑体" w:hAnsi="黑体" w:eastAsia="黑体" w:cs="黑体"/>
                <w:sz w:val="20"/>
              </w:rPr>
              <w:t>1</w:t>
            </w:r>
          </w:p>
        </w:tc>
        <w:tc>
          <w:tcPr>
            <w:tcW w:w="63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知识</w:t>
            </w:r>
          </w:p>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产权</w:t>
            </w:r>
          </w:p>
        </w:tc>
        <w:tc>
          <w:tcPr>
            <w:tcW w:w="3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themeColor="text1"/>
                <w:kern w:val="0"/>
                <w:sz w:val="20"/>
              </w:rPr>
            </w:pPr>
            <w:r>
              <w:rPr>
                <w:rFonts w:hint="eastAsia" w:ascii="黑体" w:hAnsi="宋体" w:eastAsia="黑体" w:cs="黑体"/>
                <w:color w:val="000000" w:themeColor="text1"/>
                <w:kern w:val="0"/>
                <w:sz w:val="20"/>
              </w:rPr>
              <w:t>★</w:t>
            </w:r>
          </w:p>
        </w:tc>
        <w:tc>
          <w:tcPr>
            <w:tcW w:w="2677" w:type="pct"/>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r>
              <w:rPr>
                <w:rFonts w:ascii="黑体" w:hAnsi="宋体" w:eastAsia="黑体" w:cs="黑体"/>
                <w:kern w:val="0"/>
                <w:sz w:val="20"/>
              </w:rPr>
              <w:t>。</w:t>
            </w:r>
          </w:p>
        </w:tc>
        <w:tc>
          <w:tcPr>
            <w:tcW w:w="4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否</w:t>
            </w:r>
          </w:p>
        </w:tc>
        <w:tc>
          <w:tcPr>
            <w:tcW w:w="50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企业</w:t>
            </w:r>
          </w:p>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承诺</w:t>
            </w:r>
          </w:p>
        </w:tc>
      </w:tr>
      <w:tr>
        <w:tblPrEx>
          <w:tblCellMar>
            <w:top w:w="0" w:type="dxa"/>
            <w:left w:w="108" w:type="dxa"/>
            <w:bottom w:w="0" w:type="dxa"/>
            <w:right w:w="108" w:type="dxa"/>
          </w:tblCellMar>
        </w:tblPrEx>
        <w:trPr>
          <w:trHeight w:val="874" w:hRule="atLeast"/>
        </w:trPr>
        <w:tc>
          <w:tcPr>
            <w:tcW w:w="1024"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技术偏离要求</w:t>
            </w:r>
          </w:p>
        </w:tc>
        <w:tc>
          <w:tcPr>
            <w:tcW w:w="3975" w:type="pct"/>
            <w:gridSpan w:val="6"/>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ascii="黑体" w:hAnsi="黑体" w:eastAsia="黑体" w:cs="黑体"/>
                <w:kern w:val="0"/>
                <w:sz w:val="20"/>
              </w:rPr>
            </w:pPr>
            <w:r>
              <w:rPr>
                <w:rFonts w:hint="eastAsia" w:ascii="黑体" w:hAnsi="黑体" w:eastAsia="黑体" w:cs="黑体"/>
                <w:kern w:val="0"/>
                <w:sz w:val="20"/>
              </w:rPr>
              <w:t>▲标识的指标负偏离≥3项，投标企业技术分值为0分</w:t>
            </w:r>
          </w:p>
          <w:p>
            <w:pPr>
              <w:widowControl/>
              <w:spacing w:line="240" w:lineRule="exact"/>
              <w:jc w:val="left"/>
              <w:rPr>
                <w:rFonts w:ascii="黑体" w:hAnsi="黑体" w:eastAsia="黑体" w:cs="黑体"/>
                <w:kern w:val="0"/>
                <w:sz w:val="20"/>
              </w:rPr>
            </w:pPr>
            <w:r>
              <w:rPr>
                <w:rFonts w:hint="eastAsia" w:ascii="黑体" w:hAnsi="黑体" w:eastAsia="黑体" w:cs="黑体"/>
                <w:kern w:val="0"/>
                <w:sz w:val="20"/>
              </w:rPr>
              <w:t>▲标识的指标和“无标识”指标负偏离≥</w:t>
            </w:r>
            <w:r>
              <w:rPr>
                <w:rFonts w:ascii="黑体" w:hAnsi="黑体" w:eastAsia="黑体" w:cs="黑体"/>
                <w:kern w:val="0"/>
                <w:sz w:val="20"/>
              </w:rPr>
              <w:t>5</w:t>
            </w:r>
            <w:r>
              <w:rPr>
                <w:rFonts w:hint="eastAsia" w:ascii="黑体" w:hAnsi="黑体" w:eastAsia="黑体" w:cs="黑体"/>
                <w:kern w:val="0"/>
                <w:sz w:val="20"/>
              </w:rPr>
              <w:t>项，投标企业技术分值为0分</w:t>
            </w:r>
          </w:p>
        </w:tc>
      </w:tr>
      <w:bookmarkEnd w:id="0"/>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2"/>
  </w:compat>
  <w:rsids>
    <w:rsidRoot w:val="005A0DCF"/>
    <w:rsid w:val="001A7EF9"/>
    <w:rsid w:val="001B548B"/>
    <w:rsid w:val="001C149C"/>
    <w:rsid w:val="00204435"/>
    <w:rsid w:val="0021781A"/>
    <w:rsid w:val="00273582"/>
    <w:rsid w:val="00280FB9"/>
    <w:rsid w:val="002A6804"/>
    <w:rsid w:val="004D75E1"/>
    <w:rsid w:val="005A0DCF"/>
    <w:rsid w:val="006F7D3C"/>
    <w:rsid w:val="00705DEE"/>
    <w:rsid w:val="00735057"/>
    <w:rsid w:val="007D1C90"/>
    <w:rsid w:val="00810C54"/>
    <w:rsid w:val="00812AD5"/>
    <w:rsid w:val="00940324"/>
    <w:rsid w:val="00970B46"/>
    <w:rsid w:val="00977489"/>
    <w:rsid w:val="00A1720C"/>
    <w:rsid w:val="00AC10BE"/>
    <w:rsid w:val="00B55995"/>
    <w:rsid w:val="00CA3680"/>
    <w:rsid w:val="00CB0992"/>
    <w:rsid w:val="00CD14AC"/>
    <w:rsid w:val="00D02A38"/>
    <w:rsid w:val="00D07EFC"/>
    <w:rsid w:val="00D52179"/>
    <w:rsid w:val="00DE6489"/>
    <w:rsid w:val="00E66B99"/>
    <w:rsid w:val="00E80866"/>
    <w:rsid w:val="00F20182"/>
    <w:rsid w:val="00F370C8"/>
    <w:rsid w:val="00F53938"/>
    <w:rsid w:val="0FBF75CA"/>
    <w:rsid w:val="0FD96081"/>
    <w:rsid w:val="16A65F68"/>
    <w:rsid w:val="175DEAC3"/>
    <w:rsid w:val="1EA85002"/>
    <w:rsid w:val="4D6C6666"/>
    <w:rsid w:val="5DDA8F97"/>
    <w:rsid w:val="7BEE2666"/>
    <w:rsid w:val="7EEF30DB"/>
    <w:rsid w:val="7EF615C6"/>
    <w:rsid w:val="7FAB762F"/>
    <w:rsid w:val="7FF5CFFA"/>
    <w:rsid w:val="95DE7612"/>
    <w:rsid w:val="9EBBDA35"/>
    <w:rsid w:val="A6B90943"/>
    <w:rsid w:val="AADF309D"/>
    <w:rsid w:val="AB5A6B8B"/>
    <w:rsid w:val="AFD3EA56"/>
    <w:rsid w:val="BDD4C98A"/>
    <w:rsid w:val="BEAF523E"/>
    <w:rsid w:val="DD6B3991"/>
    <w:rsid w:val="E5F38732"/>
    <w:rsid w:val="EAFFAE87"/>
    <w:rsid w:val="EEF7CA73"/>
    <w:rsid w:val="FB1CA5FD"/>
    <w:rsid w:val="FDFEF4FA"/>
    <w:rsid w:val="FF771A6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Balloon Text"/>
    <w:basedOn w:val="1"/>
    <w:link w:val="9"/>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rPr>
  </w:style>
  <w:style w:type="character" w:customStyle="1" w:styleId="8">
    <w:name w:val="font111"/>
    <w:basedOn w:val="7"/>
    <w:qFormat/>
    <w:uiPriority w:val="0"/>
    <w:rPr>
      <w:rFonts w:hint="eastAsia" w:ascii="黑体" w:hAnsi="宋体" w:eastAsia="黑体" w:cs="黑体"/>
      <w:i/>
      <w:iCs/>
      <w:color w:val="000000"/>
      <w:sz w:val="20"/>
      <w:szCs w:val="20"/>
      <w:u w:val="none"/>
    </w:rPr>
  </w:style>
  <w:style w:type="character" w:customStyle="1" w:styleId="9">
    <w:name w:val="批注框文本 Char"/>
    <w:basedOn w:val="7"/>
    <w:link w:val="3"/>
    <w:qFormat/>
    <w:uiPriority w:val="0"/>
    <w:rPr>
      <w:rFonts w:ascii="Times New Roman" w:hAnsi="Times New Roman" w:eastAsia="宋体" w:cs="Times New Roman"/>
      <w:kern w:val="2"/>
      <w:sz w:val="18"/>
      <w:szCs w:val="18"/>
    </w:rPr>
  </w:style>
  <w:style w:type="character" w:customStyle="1" w:styleId="10">
    <w:name w:val="页眉 Char"/>
    <w:basedOn w:val="7"/>
    <w:link w:val="5"/>
    <w:qFormat/>
    <w:uiPriority w:val="0"/>
    <w:rPr>
      <w:rFonts w:ascii="Times New Roman" w:hAnsi="Times New Roman" w:cs="Times New Roman"/>
      <w:kern w:val="2"/>
      <w:sz w:val="18"/>
      <w:szCs w:val="18"/>
    </w:rPr>
  </w:style>
  <w:style w:type="character" w:customStyle="1" w:styleId="11">
    <w:name w:val="页脚 Char"/>
    <w:basedOn w:val="7"/>
    <w:link w:val="4"/>
    <w:qFormat/>
    <w:uiPriority w:val="0"/>
    <w:rPr>
      <w:rFonts w:ascii="Times New Roman" w:hAnsi="Times New Roman"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EA8FDA-C600-49A9-AA19-3949BC0FDF3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2244</Words>
  <Characters>2331</Characters>
  <Lines>23</Lines>
  <Paragraphs>6</Paragraphs>
  <TotalTime>21</TotalTime>
  <ScaleCrop>false</ScaleCrop>
  <LinksUpToDate>false</LinksUpToDate>
  <CharactersWithSpaces>2334</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2025-01-21T04:27:00Z</dcterms:created>
  <dc:creator>L</dc:creator>
  <cp:lastModifiedBy>admin</cp:lastModifiedBy>
  <cp:lastPrinted>2024-06-18T09:13:00Z</cp:lastPrinted>
  <dcterms:modified xsi:type="dcterms:W3CDTF">2025-03-05T12:36:44Z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AAEAC8D943844CD0A84217E413E2EE4B</vt:lpwstr>
  </property>
</Properties>
</file>