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2191257"/>
      <w:bookmarkStart w:id="1" w:name="_Toc130661176"/>
      <w:bookmarkStart w:id="2" w:name="_Toc128470293"/>
      <w:bookmarkStart w:id="3" w:name="_Toc32050"/>
      <w:bookmarkStart w:id="4" w:name="_Toc30564"/>
      <w:bookmarkStart w:id="5" w:name="_Toc130888005"/>
      <w:bookmarkStart w:id="6" w:name="_Toc132186973"/>
      <w:bookmarkStart w:id="7" w:name="_Toc28545"/>
      <w:bookmarkStart w:id="8" w:name="_Toc112768491"/>
      <w:bookmarkStart w:id="9" w:name="_Toc112317781"/>
      <w:bookmarkStart w:id="10" w:name="_Toc9692"/>
      <w:bookmarkStart w:id="11" w:name="_Toc128154366"/>
      <w:bookmarkStart w:id="12" w:name="_Toc21632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/>
          <w:bCs/>
          <w:snapToGrid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明确的默认由企业提供承诺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用于腰椎脊柱源性疼痛、腰椎术后失败综合征、腰椎管狭窄、腰椎间盘突出、神经根松解、脊柱微创手术中对病患部位组织的处理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产品彩页、说明书或技术白皮书或企业承诺</w:t>
            </w:r>
            <w:bookmarkStart w:id="13" w:name="_GoBack"/>
            <w:bookmarkEnd w:id="1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射频等离子体手术系统工作频率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等离子工作频率：100kHz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射频工作频率：≥1.70MHz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等离子模块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切割消融模式、凝固止血模式；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每种模式≥10档可调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射频模块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切割消融模式、凝血模式；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每种模式≥10档可调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具备正转、反转、往复转三种模式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最高转速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≥8000转/分钟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动力手柄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控制功能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可通过手柄控制开启、关闭、正转、反转、 往复转等功能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动力手柄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抽吸功能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手柄具备自动抽吸功能；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－70kPa±10kPa的负压状态下，吸引量≥400mL/min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内窥镜摄像系统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内置≥19英寸高清显示器；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输出像素≥200万像素；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视频输出：包含HMDI、DVI、VGA、CVBS；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内置录像功能，支持一键切换录像/拍照模式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摄像头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防水等级：IPX8；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按键控制拍照、白平衡、放大、缩小等功能；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冷光源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LED光源，工作寿命≥50000小时；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显色指数≥90；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带记忆功能，可一键休眠；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光输出≥200000LUX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显示器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尺寸≥32英寸；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分辨率≥1920</w:t>
            </w:r>
            <w:r>
              <w:rPr>
                <w:rStyle w:val="160"/>
                <w:rFonts w:eastAsia="黑体"/>
                <w:highlight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视向角：30°；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镜鞘与镜子匹配，一键式卡接，可旋转单水阀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开路器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0.5mm；工作长度：110±5mm；直开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直径：10±0.5mm；工作长度：110±5mm；左弯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0.5mm；工作长度：110±5mm；右弯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工作端宽度：4±0.5mm，弓形前弯型上翘：15°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工作端宽度：5±0.5mm，半圆型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工作端宽度：5±0.5mm，圆型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剥离子1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直径：4±0.2mm；工作长度：120±5mm；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直头；5°、15°各一把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剥离子2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直径：4±0.2mm；工作长度：120±5mm；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弯头；25°、35°各一把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直径：3.5±0.1mm；工作长度：200±5mm；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直径：3.5±0.1mm；工作长度：200±5mm；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上翘30°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上翘45°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麦粒头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大勺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工作宽度：3.0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工作宽度：4.0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0.5mm，钳口上翘型角度：130°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工作宽度：3.0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0.5mm，钳口上翘型角度：130°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咬骨钳手柄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可拆卸式咬骨鞘管手柄2把；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内孔通道：5.5±0.1mm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蓝钳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神经拉钩1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直径：2±0.1mm；工作长度：180±5mm；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钩长：3±0.1mm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神经拉钩2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直径：2±0.1mm；工作长度：180±5mm；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钩长：5±0.1mm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冲洗管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直径：2±0.1mm；工作长度：120±5mm；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定位针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直径：5±0.1mm；工作长度：200±5mm；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骨锤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橡胶手柄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直径：5±0.1mm；工作长度：120±5mm；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前弯型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前弯型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反向型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器械消毒盒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≥3个，能归类放置全部器械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射频等离子主机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动力主机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摄像系统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内窥镜及镜鞘 3套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手术器械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一次性无菌刨削头/磨钻头 4支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厂家或企业承诺及注册证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2019"/>
        <w:gridCol w:w="2133"/>
        <w:gridCol w:w="1283"/>
        <w:gridCol w:w="700"/>
        <w:gridCol w:w="1184"/>
        <w:gridCol w:w="11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脊柱内窥镜手术系统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描述</w:t>
            </w:r>
          </w:p>
        </w:tc>
        <w:tc>
          <w:tcPr>
            <w:tcW w:w="44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耗材（试剂）与设备为同一品牌或耗材（试剂）为设备生产企业制定的唯一代工品牌。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※规格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双极射频电极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椎管内 长度约135mm 可伸缩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一次性双极射频等离子体手术电极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椎管外 长度约135mm 90°圆形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一次性磨钻头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金刚砂磨头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</w:p>
    <w:p>
      <w:pPr>
        <w:rPr>
          <w:rFonts w:hint="eastAsia"/>
          <w:highlight w:val="none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102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117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3E159A9"/>
    <w:rsid w:val="040840C4"/>
    <w:rsid w:val="04504BAA"/>
    <w:rsid w:val="046E1FF1"/>
    <w:rsid w:val="04A465CA"/>
    <w:rsid w:val="05110364"/>
    <w:rsid w:val="052929F0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82474B"/>
    <w:rsid w:val="07A81FD4"/>
    <w:rsid w:val="07C949EF"/>
    <w:rsid w:val="08000695"/>
    <w:rsid w:val="08A6586F"/>
    <w:rsid w:val="093E2FA0"/>
    <w:rsid w:val="09673E3C"/>
    <w:rsid w:val="0A124EE2"/>
    <w:rsid w:val="0A8F788E"/>
    <w:rsid w:val="0AAE4A96"/>
    <w:rsid w:val="0AB05A1D"/>
    <w:rsid w:val="0BAF1156"/>
    <w:rsid w:val="0BE24C15"/>
    <w:rsid w:val="0BFE1539"/>
    <w:rsid w:val="0C3628D7"/>
    <w:rsid w:val="0D225C5E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76570E"/>
    <w:rsid w:val="12A52565"/>
    <w:rsid w:val="12CC61CB"/>
    <w:rsid w:val="12F2507E"/>
    <w:rsid w:val="13726955"/>
    <w:rsid w:val="137C7858"/>
    <w:rsid w:val="13CF39F0"/>
    <w:rsid w:val="144900B5"/>
    <w:rsid w:val="14562003"/>
    <w:rsid w:val="14B85155"/>
    <w:rsid w:val="150F085D"/>
    <w:rsid w:val="152534E9"/>
    <w:rsid w:val="164133AC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583B64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A139D4"/>
    <w:rsid w:val="1FB2006F"/>
    <w:rsid w:val="201F6F20"/>
    <w:rsid w:val="20CE49AC"/>
    <w:rsid w:val="213538C6"/>
    <w:rsid w:val="217F21D3"/>
    <w:rsid w:val="21C61BB0"/>
    <w:rsid w:val="21ED35E0"/>
    <w:rsid w:val="22952DE4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E600AE"/>
    <w:rsid w:val="2DB477BD"/>
    <w:rsid w:val="2DCF44E2"/>
    <w:rsid w:val="2E1B296B"/>
    <w:rsid w:val="2E262354"/>
    <w:rsid w:val="2E552C39"/>
    <w:rsid w:val="2E5B2BDC"/>
    <w:rsid w:val="2FEE59AC"/>
    <w:rsid w:val="300B11EA"/>
    <w:rsid w:val="30843362"/>
    <w:rsid w:val="30AB64A3"/>
    <w:rsid w:val="31150F12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8858D7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9237DB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62563E"/>
    <w:rsid w:val="417C1216"/>
    <w:rsid w:val="41970A1B"/>
    <w:rsid w:val="41A5138A"/>
    <w:rsid w:val="41D775CC"/>
    <w:rsid w:val="423B7BF3"/>
    <w:rsid w:val="42564F1D"/>
    <w:rsid w:val="42B86E9B"/>
    <w:rsid w:val="42CD0E07"/>
    <w:rsid w:val="431762B8"/>
    <w:rsid w:val="43F071D9"/>
    <w:rsid w:val="4420585E"/>
    <w:rsid w:val="4427077C"/>
    <w:rsid w:val="448252F0"/>
    <w:rsid w:val="45BE5DDD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EC0D88"/>
    <w:rsid w:val="4CF51CDC"/>
    <w:rsid w:val="4D9F69ED"/>
    <w:rsid w:val="4DBD6AAD"/>
    <w:rsid w:val="4DC42B98"/>
    <w:rsid w:val="4E934006"/>
    <w:rsid w:val="4EB94800"/>
    <w:rsid w:val="4F7426A1"/>
    <w:rsid w:val="4F9A62A6"/>
    <w:rsid w:val="4FA7104F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D84819"/>
    <w:rsid w:val="53EB539E"/>
    <w:rsid w:val="541A66AD"/>
    <w:rsid w:val="5422054D"/>
    <w:rsid w:val="543D2C46"/>
    <w:rsid w:val="54A320E7"/>
    <w:rsid w:val="54D11CCC"/>
    <w:rsid w:val="550B6A44"/>
    <w:rsid w:val="55120D38"/>
    <w:rsid w:val="557A196D"/>
    <w:rsid w:val="55CA4E84"/>
    <w:rsid w:val="55CD509B"/>
    <w:rsid w:val="56710C02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C47B59"/>
    <w:rsid w:val="61DB765A"/>
    <w:rsid w:val="61FE3C40"/>
    <w:rsid w:val="620801C0"/>
    <w:rsid w:val="6235591B"/>
    <w:rsid w:val="62B17737"/>
    <w:rsid w:val="62E93E7C"/>
    <w:rsid w:val="62FC4A56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DE261C2"/>
    <w:rsid w:val="6EFA0BA6"/>
    <w:rsid w:val="6F4831D1"/>
    <w:rsid w:val="6FB5176D"/>
    <w:rsid w:val="70856A3F"/>
    <w:rsid w:val="70E01533"/>
    <w:rsid w:val="70E114A5"/>
    <w:rsid w:val="70F8505A"/>
    <w:rsid w:val="714A43DE"/>
    <w:rsid w:val="714E5FA0"/>
    <w:rsid w:val="71593474"/>
    <w:rsid w:val="715A55D0"/>
    <w:rsid w:val="72B02765"/>
    <w:rsid w:val="73965D07"/>
    <w:rsid w:val="73995A69"/>
    <w:rsid w:val="73E47BBF"/>
    <w:rsid w:val="73F20209"/>
    <w:rsid w:val="744140BC"/>
    <w:rsid w:val="7471147B"/>
    <w:rsid w:val="74722479"/>
    <w:rsid w:val="756E3C30"/>
    <w:rsid w:val="75EB555A"/>
    <w:rsid w:val="75ED43FE"/>
    <w:rsid w:val="75FF5737"/>
    <w:rsid w:val="76796366"/>
    <w:rsid w:val="79D421A9"/>
    <w:rsid w:val="7A063D77"/>
    <w:rsid w:val="7A3A36CD"/>
    <w:rsid w:val="7A4153ED"/>
    <w:rsid w:val="7ABD27F2"/>
    <w:rsid w:val="7B2D7683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36919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0">
    <w:name w:val="font21"/>
    <w:basedOn w:val="44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130</Pages>
  <Words>44133</Words>
  <Characters>46508</Characters>
  <Lines>339</Lines>
  <Paragraphs>95</Paragraphs>
  <TotalTime>0</TotalTime>
  <ScaleCrop>false</ScaleCrop>
  <LinksUpToDate>false</LinksUpToDate>
  <CharactersWithSpaces>50344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2025-01-06T03:23:00Z</cp:lastPrinted>
  <dcterms:modified xsi:type="dcterms:W3CDTF">2025-03-18T07:31:16Z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