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32238"/>
      <w:bookmarkStart w:id="1" w:name="_Toc17189"/>
      <w:bookmarkStart w:id="2" w:name="_Toc14060"/>
      <w:bookmarkStart w:id="3" w:name="_Toc128470294"/>
      <w:bookmarkStart w:id="4" w:name="_Toc25325"/>
      <w:bookmarkStart w:id="5" w:name="_Toc22977"/>
      <w:bookmarkStart w:id="6" w:name="_Toc13168"/>
      <w:bookmarkStart w:id="7" w:name="_Toc13753"/>
      <w:bookmarkStart w:id="8" w:name="_Toc22203"/>
      <w:bookmarkStart w:id="9" w:name="_Toc112681847"/>
      <w:bookmarkStart w:id="10" w:name="_Toc21712"/>
      <w:bookmarkStart w:id="11" w:name="_Toc130888006"/>
      <w:bookmarkStart w:id="12" w:name="_Toc132191258"/>
      <w:bookmarkStart w:id="13" w:name="_Toc112768493"/>
      <w:bookmarkStart w:id="14" w:name="_Toc132186974"/>
      <w:bookmarkStart w:id="15" w:name="_Toc128154367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（商务要求（一）、（二）、（三）均为实质性响应条款，不接受负偏离，且须在投标文件的商务技术册中单独附页承诺）</w:t>
      </w:r>
    </w:p>
    <w:p>
      <w:pPr>
        <w:rPr>
          <w:rFonts w:hint="default"/>
          <w:lang w:val="en-US"/>
        </w:rPr>
      </w:pPr>
      <w:r>
        <w:rPr>
          <w:rFonts w:hint="eastAsia" w:ascii="黑体" w:hAnsi="黑体" w:cs="黑体"/>
          <w:b/>
          <w:bCs/>
          <w:sz w:val="28"/>
          <w:szCs w:val="28"/>
          <w:lang w:eastAsia="zh-CN"/>
        </w:rPr>
        <w:t>（一）经济要求：</w:t>
      </w:r>
    </w:p>
    <w:tbl>
      <w:tblPr>
        <w:tblStyle w:val="5"/>
        <w:tblW w:w="917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1746"/>
        <w:gridCol w:w="4731"/>
        <w:gridCol w:w="155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</w:p>
    <w:p>
      <w:pPr>
        <w:pStyle w:val="7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二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）知识产权和保密要求</w:t>
      </w:r>
    </w:p>
    <w:p>
      <w:pPr>
        <w:pStyle w:val="7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投标供应商应当保证采购单位在使用该物资或其任何一部分时，不受第三方侵权指控。同时，投标供应商不得向第三方泄露采购机构提供的技术文件等材料。基于项目合同履行形成的知识产权和其他权益，其权属归采购单位所有，法律另有规定的除外。</w:t>
      </w:r>
    </w:p>
    <w:p>
      <w:pPr>
        <w:pStyle w:val="7"/>
        <w:spacing w:line="360" w:lineRule="auto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要求</w:t>
      </w:r>
    </w:p>
    <w:p>
      <w:pPr>
        <w:pStyle w:val="7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本项目对物资的编目编码、打码贴签要求，投标供应商应当予以明确响应，相关费用包含在报价中。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/>
        <w:textAlignment w:val="auto"/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pStyle w:val="4"/>
        <w:numPr>
          <w:ilvl w:val="0"/>
          <w:numId w:val="0"/>
        </w:numPr>
        <w:spacing w:before="0" w:after="0" w:line="560" w:lineRule="exact"/>
        <w:outlineLvl w:val="1"/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  <w:bookmarkStart w:id="16" w:name="_Toc132190634"/>
      <w:bookmarkStart w:id="17" w:name="_Toc17887"/>
      <w:bookmarkStart w:id="18" w:name="_Toc128151027"/>
      <w:bookmarkStart w:id="19" w:name="_Toc128150134"/>
      <w:bookmarkStart w:id="20" w:name="_Toc127820564"/>
      <w:bookmarkStart w:id="21" w:name="_Toc128397970"/>
      <w:bookmarkStart w:id="22" w:name="_Toc130887500"/>
      <w:bookmarkStart w:id="23" w:name="_Toc128150778"/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二、技术要求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pStyle w:val="2"/>
        <w:rPr>
          <w:rFonts w:ascii="宋体" w:hAnsi="宋体"/>
          <w:bCs/>
          <w:snapToGrid w:val="0"/>
          <w:color w:val="auto"/>
          <w:sz w:val="28"/>
          <w:szCs w:val="28"/>
        </w:rPr>
      </w:pPr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4"/>
        <w:gridCol w:w="699"/>
        <w:gridCol w:w="380"/>
        <w:gridCol w:w="3256"/>
        <w:gridCol w:w="2394"/>
        <w:gridCol w:w="365"/>
        <w:gridCol w:w="96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电动动力系统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90（2台）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用于(神经)外科手术或骨组织磨除等应用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具备NMPA（CFDA）认证，同时具有FDA和CE认证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动力主机界面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彩色液晶触摸屏控制，实时显示马达转速、转动方向，图形化操作界面；可调节转速，满足不同入路需求且具备一键式恢复出厂设置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马达接口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双马达接口，马达自动识别功能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脚踏开关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无级变速；防水设计；可调节马达转动方向、速度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全不锈钢接口；具备“开启/停止”的安全开关；可高温高压灭菌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安全保护型冲洗泵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马达停止后，冲洗泵可自动停止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手柄结构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手柄与马达一体式，手柄和马达总重量≤90g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马达前置式设计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手柄消毒灭菌方式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可高温高压灭菌，可以一体化清洁/酶洗、直接浸泡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手柄冲洗方式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可用高压水枪进行冲洗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手柄转速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最高转速≥80000转/分钟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铣刀保护鞘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可旋转式保护鞘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磨钻刀头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磨钻头种类≥6种，满足不同科室选配，可任意匹配不同长度手柄，可重复性使用，高温高压灭菌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铣刀片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铣刀片种类≥75种，不锈钢材质；可重复性使用；可高温高压灭菌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开机自检功能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具有开机自检功能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具备设备指标异常提示和安全报警声、光指示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脚踏开关1套，连接电缆1个，多功能手柄3把，标准磨钻手柄1把，旋转保护鞘2个，清洗灭菌篮1个，多功能手柄套筒1个，冲洗适配器转接头1个，西瓜磨头5个，金刚砂磨头5个，铣刀标准型10个，保养润滑油6瓶，保养油喷嘴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▲标识的指标和“无标识”指标负偏离≥30%，投标企业技术分值为0分</w:t>
            </w:r>
          </w:p>
        </w:tc>
      </w:tr>
    </w:tbl>
    <w:p>
      <w:bookmarkStart w:id="24" w:name="_GoBack"/>
      <w:bookmarkEnd w:id="2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75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2025-03-19T00:06:39Z</dcterms:created>
  <dc:creator>DOCTOR</dc:creator>
  <cp:lastModifiedBy>DOCTOR</cp:lastModifiedBy>
  <dcterms:modified xsi:type="dcterms:W3CDTF">2025-03-19T00:06:43Z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