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28151016"/>
      <w:bookmarkStart w:id="1" w:name="_Toc130886988"/>
      <w:bookmarkStart w:id="2" w:name="_Toc127820554"/>
      <w:bookmarkStart w:id="3" w:name="_Toc128150123"/>
      <w:bookmarkStart w:id="4" w:name="_Toc130657981"/>
      <w:bookmarkStart w:id="5" w:name="_Toc128397959"/>
      <w:bookmarkStart w:id="6" w:name="_Toc130887489"/>
      <w:bookmarkStart w:id="7" w:name="_Toc130657527"/>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firstLine="1440" w:firstLineChars="4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全自动化学发光免疫分析仪</w:t>
      </w:r>
    </w:p>
    <w:p>
      <w:pPr>
        <w:pStyle w:val="21"/>
        <w:shd w:val="clear"/>
        <w:adjustRightInd w:val="0"/>
        <w:snapToGrid w:val="0"/>
        <w:spacing w:line="240" w:lineRule="atLeast"/>
        <w:ind w:left="0" w:leftChars="0" w:firstLine="2160" w:firstLineChars="600"/>
        <w:jc w:val="both"/>
        <w:rPr>
          <w:rFonts w:hAnsi="宋体"/>
          <w:bCs/>
          <w:sz w:val="32"/>
          <w:szCs w:val="32"/>
          <w:highlight w:val="none"/>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2024-JQ06-W3623</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bookmarkStart w:id="233" w:name="_GoBack"/>
      <w:bookmarkEnd w:id="233"/>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5</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3</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8</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27201"/>
      <w:bookmarkStart w:id="17" w:name="_Toc128154359"/>
      <w:bookmarkStart w:id="18" w:name="_Toc128470286"/>
      <w:bookmarkStart w:id="19" w:name="_Toc132186966"/>
      <w:bookmarkStart w:id="20" w:name="_Toc130661169"/>
      <w:bookmarkStart w:id="21" w:name="_Toc130887998"/>
      <w:bookmarkStart w:id="22" w:name="_Toc132191250"/>
      <w:bookmarkStart w:id="23" w:name="_Toc15622"/>
      <w:bookmarkStart w:id="24" w:name="_Toc112768490"/>
      <w:bookmarkStart w:id="25" w:name="_Toc30198"/>
      <w:bookmarkStart w:id="26" w:name="_Toc32290"/>
      <w:bookmarkStart w:id="27" w:name="_Toc112317780"/>
      <w:bookmarkStart w:id="28" w:name="_Toc20311"/>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hint="eastAsia" w:ascii="宋体" w:hAnsi="宋体" w:cs="宋体"/>
                <w:sz w:val="24"/>
                <w:highlight w:val="none"/>
                <w:u w:val="single"/>
                <w:lang w:val="en-US" w:eastAsia="zh-CN"/>
              </w:rPr>
            </w:pPr>
            <w:r>
              <w:rPr>
                <w:rFonts w:hint="eastAsia" w:ascii="宋体" w:hAnsi="宋体" w:cs="宋体"/>
                <w:sz w:val="24"/>
                <w:highlight w:val="none"/>
                <w:u w:val="single"/>
                <w:lang w:val="en-US" w:eastAsia="zh-CN"/>
              </w:rPr>
              <w:t>全自动化学发光免疫分析仪</w:t>
            </w:r>
          </w:p>
          <w:p>
            <w:pPr>
              <w:spacing w:line="360" w:lineRule="exact"/>
              <w:rPr>
                <w:rFonts w:ascii="宋体" w:hAnsi="宋体" w:cs="宋体"/>
                <w:sz w:val="24"/>
                <w:highlight w:val="none"/>
              </w:rPr>
            </w:pP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30</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w:t>
            </w:r>
            <w:r>
              <w:rPr>
                <w:rFonts w:hint="eastAsia" w:ascii="宋体" w:hAnsi="宋体"/>
                <w:sz w:val="24"/>
                <w:highlight w:val="none"/>
                <w:lang w:val="en-US" w:eastAsia="zh-CN"/>
              </w:rPr>
              <w:t>3</w:t>
            </w:r>
            <w:r>
              <w:rPr>
                <w:rFonts w:hint="eastAsia" w:ascii="宋体" w:hAnsi="宋体"/>
                <w:sz w:val="24"/>
                <w:highlight w:val="none"/>
              </w:rPr>
              <w:t>份，其中，</w:t>
            </w:r>
            <w:r>
              <w:rPr>
                <w:rFonts w:hint="eastAsia" w:ascii="宋体" w:hAnsi="宋体"/>
                <w:sz w:val="24"/>
                <w:highlight w:val="none"/>
                <w:lang w:val="zh-CN"/>
              </w:rPr>
              <w:t>正本1份，副本</w:t>
            </w:r>
            <w:r>
              <w:rPr>
                <w:rFonts w:hint="eastAsia" w:ascii="宋体" w:hAnsi="宋体"/>
                <w:sz w:val="24"/>
                <w:highlight w:val="none"/>
                <w:lang w:val="en-US" w:eastAsia="zh-CN"/>
              </w:rPr>
              <w:t>2</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2</w:t>
            </w:r>
            <w:r>
              <w:rPr>
                <w:rFonts w:hint="eastAsia" w:ascii="宋体" w:hAnsi="宋体"/>
                <w:b/>
                <w:bCs/>
                <w:sz w:val="24"/>
                <w:highlight w:val="none"/>
                <w:lang w:val="zh-CN"/>
              </w:rPr>
              <w:t>副共</w:t>
            </w:r>
            <w:r>
              <w:rPr>
                <w:rFonts w:hint="eastAsia" w:ascii="宋体" w:hAnsi="宋体"/>
                <w:b/>
                <w:bCs/>
                <w:sz w:val="24"/>
                <w:highlight w:val="none"/>
                <w:lang w:val="en-US" w:eastAsia="zh-CN"/>
              </w:rPr>
              <w:t>3</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single"/>
                <w:lang w:val="en-US" w:eastAsia="zh-CN"/>
              </w:rPr>
              <w:t>¥</w:t>
            </w:r>
            <w:r>
              <w:rPr>
                <w:rFonts w:hint="eastAsia" w:ascii="宋体" w:hAnsi="宋体" w:cs="宋体"/>
                <w:sz w:val="24"/>
                <w:szCs w:val="24"/>
                <w:u w:val="single"/>
                <w:lang w:val="en-US" w:eastAsia="zh-CN"/>
              </w:rPr>
              <w:t>6000（大写）陆仟</w:t>
            </w:r>
            <w:r>
              <w:rPr>
                <w:rFonts w:hint="eastAsia" w:ascii="宋体" w:hAnsi="宋体" w:cs="宋体"/>
                <w:sz w:val="24"/>
                <w:szCs w:val="24"/>
                <w:u w:val="none"/>
                <w:lang w:val="en-US" w:eastAsia="zh-CN"/>
              </w:rPr>
              <w:t>元整缴纳截止时间：本项目报价截止时间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并在谈判当日提供1份保函原件，报价时与手持文件（法人资格证明书、法定代表人授权书、授权代表近1年内任意1个月缴纳社保的证明材料）一并单独提交。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3"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4</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29</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29</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29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470287"/>
      <w:bookmarkStart w:id="32" w:name="_Toc128154360"/>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0887999"/>
      <w:bookmarkStart w:id="34" w:name="_Toc132191251"/>
      <w:bookmarkStart w:id="35" w:name="_Toc132186967"/>
      <w:bookmarkStart w:id="36" w:name="_Toc130661170"/>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全自动化学发光免疫分析仪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23</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30661171"/>
      <w:bookmarkStart w:id="38" w:name="_Toc132186968"/>
      <w:bookmarkStart w:id="39" w:name="_Toc130888000"/>
      <w:bookmarkStart w:id="40" w:name="_Toc16152"/>
      <w:bookmarkStart w:id="41" w:name="_Toc128154361"/>
      <w:bookmarkStart w:id="42" w:name="_Toc132191252"/>
      <w:bookmarkStart w:id="43" w:name="_Toc128470288"/>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rFonts w:hint="default" w:eastAsia="宋体"/>
          <w:bCs/>
          <w:sz w:val="28"/>
          <w:szCs w:val="28"/>
          <w:highlight w:val="none"/>
          <w:lang w:val="en-US" w:eastAsia="zh-CN"/>
        </w:rPr>
      </w:pPr>
      <w:r>
        <w:rPr>
          <w:rFonts w:hint="eastAsia"/>
          <w:bCs/>
          <w:sz w:val="28"/>
          <w:szCs w:val="28"/>
          <w:highlight w:val="none"/>
        </w:rPr>
        <w:t>项目名称：</w:t>
      </w:r>
      <w:r>
        <w:rPr>
          <w:rFonts w:hint="eastAsia"/>
          <w:bCs/>
          <w:sz w:val="28"/>
          <w:szCs w:val="28"/>
          <w:highlight w:val="none"/>
          <w:u w:val="single"/>
          <w:lang w:eastAsia="zh-CN"/>
        </w:rPr>
        <w:t>全自动化学发光免疫分析仪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23</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130661172"/>
      <w:bookmarkStart w:id="45" w:name="_Toc128470289"/>
      <w:bookmarkStart w:id="46" w:name="_Toc24455"/>
      <w:bookmarkStart w:id="47" w:name="_Toc132191253"/>
      <w:bookmarkStart w:id="48" w:name="_Toc128154362"/>
      <w:bookmarkStart w:id="49" w:name="_Toc130888001"/>
      <w:bookmarkStart w:id="50" w:name="_Toc132186969"/>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32186970"/>
      <w:bookmarkStart w:id="53" w:name="_Toc128154363"/>
      <w:bookmarkStart w:id="54" w:name="_Toc130661173"/>
      <w:bookmarkStart w:id="55" w:name="_Toc132191254"/>
      <w:bookmarkStart w:id="56" w:name="_Toc130888002"/>
      <w:bookmarkStart w:id="57" w:name="_Toc128470290"/>
      <w:r>
        <w:rPr>
          <w:rFonts w:hint="eastAsia" w:ascii="黑体" w:hAnsi="黑体"/>
          <w:b w:val="0"/>
          <w:sz w:val="28"/>
          <w:szCs w:val="28"/>
          <w:highlight w:val="none"/>
        </w:rPr>
        <w:br w:type="page"/>
      </w:r>
    </w:p>
    <w:bookmarkEnd w:id="51"/>
    <w:bookmarkEnd w:id="52"/>
    <w:bookmarkEnd w:id="53"/>
    <w:bookmarkEnd w:id="54"/>
    <w:bookmarkEnd w:id="55"/>
    <w:bookmarkEnd w:id="56"/>
    <w:bookmarkEnd w:id="57"/>
    <w:p>
      <w:pPr>
        <w:pStyle w:val="4"/>
        <w:spacing w:beforeLines="50" w:afterLines="50" w:line="415" w:lineRule="auto"/>
        <w:rPr>
          <w:rFonts w:ascii="黑体" w:hAnsi="黑体"/>
          <w:b w:val="0"/>
          <w:sz w:val="28"/>
          <w:szCs w:val="28"/>
          <w:highlight w:val="none"/>
        </w:rPr>
      </w:pPr>
      <w:bookmarkStart w:id="58" w:name="_Toc128154364"/>
      <w:bookmarkStart w:id="59" w:name="_Toc130661174"/>
      <w:bookmarkStart w:id="60" w:name="_Toc132186971"/>
      <w:bookmarkStart w:id="61" w:name="_Toc6896"/>
      <w:bookmarkStart w:id="62" w:name="_Toc132191255"/>
      <w:bookmarkStart w:id="63" w:name="_Toc130888003"/>
      <w:bookmarkStart w:id="64" w:name="_Toc128470291"/>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446"/>
        <w:gridCol w:w="630"/>
        <w:gridCol w:w="26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635"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3</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3</w:t>
            </w:r>
            <w:r>
              <w:rPr>
                <w:rFonts w:hint="eastAsia" w:asciiTheme="minorEastAsia" w:hAnsiTheme="minorEastAsia" w:eastAsiaTheme="minorEastAsia" w:cstheme="minorEastAsia"/>
                <w:bCs/>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635"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1.提供合同复印件和发票复印件并加盖投标人公章；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41</w:t>
            </w:r>
            <w:r>
              <w:rPr>
                <w:rFonts w:hint="eastAsia" w:asciiTheme="minorEastAsia" w:hAnsiTheme="minorEastAsia" w:eastAsiaTheme="minorEastAsia" w:cstheme="minorEastAsia"/>
                <w:sz w:val="22"/>
                <w:szCs w:val="22"/>
                <w:highlight w:val="none"/>
              </w:rPr>
              <w:t>）</w:t>
            </w:r>
          </w:p>
        </w:tc>
        <w:tc>
          <w:tcPr>
            <w:tcW w:w="5910" w:type="dxa"/>
            <w:gridSpan w:val="3"/>
            <w:tcBorders>
              <w:top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b/>
                <w:bCs/>
                <w:sz w:val="20"/>
                <w:szCs w:val="20"/>
                <w:lang w:val="en-US" w:eastAsia="zh-CN"/>
              </w:rPr>
            </w:pPr>
            <w:r>
              <w:rPr>
                <w:rFonts w:hint="eastAsia"/>
                <w:b/>
                <w:bCs/>
                <w:sz w:val="20"/>
                <w:szCs w:val="20"/>
                <w:lang w:val="en-US" w:eastAsia="zh-CN"/>
              </w:rPr>
              <w:t>1.</w:t>
            </w:r>
            <w:r>
              <w:rPr>
                <w:rFonts w:hint="eastAsia"/>
                <w:b/>
                <w:bCs/>
                <w:sz w:val="20"/>
                <w:szCs w:val="20"/>
                <w:lang w:eastAsia="zh-CN"/>
              </w:rPr>
              <w:t>可以量化排名的★号、▲号和无标识项指标的正偏离评分规则：按偏离程度由高到低排名，排名第一得标准分值，排名第二按标准分值的25%递减得分，依此类推（排名并列的相同得分），排名第四名之后的正偏离加分为0分（技术指标负偏离不参与排名，为0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sz w:val="20"/>
                <w:szCs w:val="20"/>
                <w:lang w:eastAsia="zh-CN"/>
              </w:rPr>
            </w:pPr>
            <w:r>
              <w:rPr>
                <w:rFonts w:hint="eastAsia"/>
                <w:sz w:val="20"/>
                <w:szCs w:val="20"/>
                <w:lang w:eastAsia="zh-CN"/>
              </w:rPr>
              <w:t>（三分之二以上技术专家认定正偏离对产品性能没有实质意义的指标值，可以不列入排名，得分一致，但须备注：正偏离无实质意义）</w:t>
            </w:r>
          </w:p>
        </w:tc>
        <w:tc>
          <w:tcPr>
            <w:tcW w:w="2635" w:type="dxa"/>
            <w:vMerge w:val="restart"/>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投标人响应承诺为准</w:t>
            </w:r>
            <w:r>
              <w:rPr>
                <w:rFonts w:hint="eastAsia" w:asciiTheme="minorEastAsia" w:hAnsiTheme="minorEastAsia" w:eastAsiaTheme="minorEastAsia" w:cstheme="minorEastAsia"/>
                <w:b/>
                <w:sz w:val="22"/>
                <w:szCs w:val="22"/>
                <w:highlight w:val="none"/>
                <w:lang w:val="en-US" w:eastAsia="zh-CN"/>
              </w:rPr>
              <w:t>1</w:t>
            </w:r>
            <w:r>
              <w:rPr>
                <w:rFonts w:hint="eastAsia" w:asciiTheme="minorEastAsia" w:hAnsiTheme="minorEastAsia" w:eastAsiaTheme="minorEastAsia" w:cstheme="minorEastAsia"/>
                <w:b/>
                <w:sz w:val="22"/>
                <w:szCs w:val="22"/>
                <w:highlight w:val="none"/>
                <w:lang w:val="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803"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21</w:t>
            </w:r>
            <w:r>
              <w:rPr>
                <w:rFonts w:hint="eastAsia" w:asciiTheme="minorEastAsia" w:hAnsiTheme="minorEastAsia" w:eastAsiaTheme="minorEastAsia" w:cstheme="minorEastAsia"/>
                <w:sz w:val="22"/>
                <w:szCs w:val="22"/>
                <w:highlight w:val="none"/>
                <w:lang w:val="en-US" w:eastAsia="zh-CN"/>
              </w:rPr>
              <w:t>分</w:t>
            </w: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4检测速度：单模块测试速度≥280测试/小时</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2分</w:t>
            </w:r>
          </w:p>
        </w:tc>
        <w:tc>
          <w:tcPr>
            <w:tcW w:w="2635" w:type="dxa"/>
            <w:vMerge w:val="continue"/>
            <w:tcBorders>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33" w:hRule="atLeast"/>
          <w:jc w:val="center"/>
        </w:trPr>
        <w:tc>
          <w:tcPr>
            <w:tcW w:w="739" w:type="dxa"/>
            <w:vMerge w:val="continue"/>
            <w:tcBorders>
              <w:right w:val="single" w:color="auto" w:sz="4" w:space="0"/>
            </w:tcBorders>
            <w:vAlign w:val="center"/>
          </w:tcPr>
          <w:p>
            <w:pPr>
              <w:spacing w:line="300" w:lineRule="exact"/>
              <w:jc w:val="left"/>
            </w:pPr>
          </w:p>
        </w:tc>
        <w:tc>
          <w:tcPr>
            <w:tcW w:w="846" w:type="dxa"/>
            <w:vMerge w:val="continue"/>
            <w:tcBorders>
              <w:right w:val="single" w:color="auto" w:sz="4" w:space="0"/>
            </w:tcBorders>
            <w:vAlign w:val="center"/>
          </w:tcPr>
          <w:p>
            <w:pPr>
              <w:spacing w:line="300" w:lineRule="exact"/>
              <w:jc w:val="left"/>
            </w:pPr>
          </w:p>
        </w:tc>
        <w:tc>
          <w:tcPr>
            <w:tcW w:w="834" w:type="dxa"/>
            <w:vMerge w:val="continue"/>
            <w:tcBorders>
              <w:left w:val="single" w:color="auto" w:sz="4" w:space="0"/>
              <w:right w:val="single" w:color="auto" w:sz="4" w:space="0"/>
            </w:tcBorders>
            <w:vAlign w:val="center"/>
          </w:tcPr>
          <w:p>
            <w:pPr>
              <w:spacing w:line="300" w:lineRule="exact"/>
              <w:jc w:val="left"/>
            </w:pP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zh-CN" w:eastAsia="zh-CN" w:bidi="ar"/>
              </w:rPr>
              <w:t>▲</w:t>
            </w:r>
            <w:r>
              <w:rPr>
                <w:rFonts w:hint="eastAsia" w:ascii="黑体" w:hAnsi="宋体" w:eastAsia="黑体" w:cs="黑体"/>
                <w:i w:val="0"/>
                <w:color w:val="000000"/>
                <w:kern w:val="0"/>
                <w:sz w:val="20"/>
                <w:szCs w:val="20"/>
                <w:u w:val="none"/>
                <w:lang w:val="en-US" w:eastAsia="zh-CN" w:bidi="ar"/>
              </w:rPr>
              <w:t>6试剂通道：总试剂通道数≥45个，自带冷藏功能</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3分</w:t>
            </w:r>
          </w:p>
        </w:tc>
        <w:tc>
          <w:tcPr>
            <w:tcW w:w="2635"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43" w:hRule="atLeast"/>
          <w:jc w:val="center"/>
        </w:trPr>
        <w:tc>
          <w:tcPr>
            <w:tcW w:w="739"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检测项目：可开展项目≥50项，必须包含肿瘤标志物（糖类抗原CA724、神经元特异性烯醇化酶等）、心脏标志物（肌酸激酶MB同功酶、肌红蛋白等）、甲状腺功能类（甲状腺球蛋白等）、激素（胰岛素、人生长激素、抗缪勒试管激素、胰岛素样生长因子1等）检测项目</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5分</w:t>
            </w:r>
          </w:p>
        </w:tc>
        <w:tc>
          <w:tcPr>
            <w:tcW w:w="2635"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78" w:hRule="atLeast"/>
          <w:jc w:val="center"/>
        </w:trPr>
        <w:tc>
          <w:tcPr>
            <w:tcW w:w="739"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zh-CN" w:eastAsia="zh-CN" w:bidi="ar"/>
              </w:rPr>
              <w:t>▲</w:t>
            </w:r>
            <w:r>
              <w:rPr>
                <w:rFonts w:hint="eastAsia" w:ascii="黑体" w:hAnsi="宋体" w:eastAsia="黑体" w:cs="黑体"/>
                <w:i w:val="0"/>
                <w:color w:val="000000"/>
                <w:kern w:val="0"/>
                <w:sz w:val="20"/>
                <w:szCs w:val="20"/>
                <w:u w:val="none"/>
                <w:lang w:val="en-US" w:eastAsia="zh-CN" w:bidi="ar"/>
              </w:rPr>
              <w:t>9样本位：同时在机样本管数量≥380个，并可连续装载，可使用原始管直接上机检测</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3分</w:t>
            </w:r>
          </w:p>
        </w:tc>
        <w:tc>
          <w:tcPr>
            <w:tcW w:w="2635"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78" w:hRule="atLeast"/>
          <w:jc w:val="center"/>
        </w:trPr>
        <w:tc>
          <w:tcPr>
            <w:tcW w:w="739"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★10机载试剂位：机载主试剂位≥40个/单模块</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5分</w:t>
            </w:r>
          </w:p>
        </w:tc>
        <w:tc>
          <w:tcPr>
            <w:tcW w:w="2635"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78" w:hRule="atLeast"/>
          <w:jc w:val="center"/>
        </w:trPr>
        <w:tc>
          <w:tcPr>
            <w:tcW w:w="739"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黑体" w:hAnsi="宋体" w:eastAsia="黑体" w:cs="黑体"/>
                <w:kern w:val="0"/>
                <w:sz w:val="24"/>
                <w:szCs w:val="24"/>
                <w:lang w:bidi="ar"/>
              </w:rPr>
            </w:pPr>
            <w:r>
              <w:rPr>
                <w:rFonts w:hint="eastAsia" w:ascii="黑体" w:hAnsi="宋体" w:eastAsia="黑体" w:cs="黑体"/>
                <w:i w:val="0"/>
                <w:color w:val="000000"/>
                <w:kern w:val="0"/>
                <w:sz w:val="20"/>
                <w:szCs w:val="20"/>
                <w:u w:val="none"/>
                <w:lang w:val="zh-CN" w:eastAsia="zh-CN" w:bidi="ar"/>
              </w:rPr>
              <w:t>▲</w:t>
            </w:r>
            <w:r>
              <w:rPr>
                <w:rFonts w:hint="eastAsia" w:ascii="黑体" w:hAnsi="宋体" w:eastAsia="黑体" w:cs="黑体"/>
                <w:i w:val="0"/>
                <w:color w:val="000000"/>
                <w:kern w:val="0"/>
                <w:sz w:val="20"/>
                <w:szCs w:val="20"/>
                <w:u w:val="none"/>
                <w:lang w:val="en-US" w:eastAsia="zh-CN" w:bidi="ar"/>
              </w:rPr>
              <w:t>11试剂稳定性：试剂机上稳定时间≥90天</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val="en-US" w:eastAsia="zh-CN"/>
              </w:rPr>
            </w:pPr>
            <w:r>
              <w:rPr>
                <w:rFonts w:hint="eastAsia" w:ascii="黑体" w:hAnsi="宋体" w:eastAsia="黑体" w:cs="黑体"/>
                <w:i w:val="0"/>
                <w:color w:val="000000"/>
                <w:kern w:val="0"/>
                <w:sz w:val="20"/>
                <w:szCs w:val="20"/>
                <w:u w:val="none"/>
                <w:lang w:val="en-US" w:eastAsia="zh-CN" w:bidi="ar"/>
              </w:rPr>
              <w:t>3分</w:t>
            </w:r>
          </w:p>
        </w:tc>
        <w:tc>
          <w:tcPr>
            <w:tcW w:w="2635"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9" w:hRule="atLeast"/>
          <w:jc w:val="center"/>
        </w:trPr>
        <w:tc>
          <w:tcPr>
            <w:tcW w:w="739" w:type="dxa"/>
            <w:vMerge w:val="continue"/>
            <w:tcBorders>
              <w:right w:val="single" w:color="auto" w:sz="4" w:space="0"/>
            </w:tcBorders>
            <w:vAlign w:val="center"/>
          </w:tcPr>
          <w:p>
            <w:pPr>
              <w:spacing w:line="300" w:lineRule="exact"/>
              <w:jc w:val="center"/>
            </w:pPr>
          </w:p>
        </w:tc>
        <w:tc>
          <w:tcPr>
            <w:tcW w:w="846" w:type="dxa"/>
            <w:vMerge w:val="continue"/>
            <w:tcBorders>
              <w:right w:val="single" w:color="auto" w:sz="4" w:space="0"/>
            </w:tcBorders>
            <w:vAlign w:val="center"/>
          </w:tcPr>
          <w:p>
            <w:pPr>
              <w:spacing w:line="3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pStyle w:val="49"/>
              <w:rPr>
                <w:rFonts w:hint="default"/>
                <w:lang w:val="en-US" w:eastAsia="zh-CN"/>
              </w:rPr>
            </w:pPr>
            <w:r>
              <w:rPr>
                <w:rFonts w:hint="eastAsia" w:ascii="宋体" w:hAnsi="宋体" w:cs="宋体"/>
                <w:sz w:val="20"/>
                <w:szCs w:val="20"/>
                <w:highlight w:val="none"/>
                <w:lang w:val="en-US" w:eastAsia="zh-CN"/>
              </w:rPr>
              <w:t>20</w:t>
            </w:r>
            <w:r>
              <w:rPr>
                <w:rFonts w:hint="eastAsia" w:asciiTheme="minorEastAsia" w:hAnsiTheme="minorEastAsia" w:eastAsiaTheme="minorEastAsia" w:cstheme="minorEastAsia"/>
                <w:kern w:val="2"/>
                <w:sz w:val="22"/>
                <w:szCs w:val="22"/>
                <w:highlight w:val="none"/>
                <w:lang w:val="en-US" w:eastAsia="zh-CN" w:bidi="ar-SA"/>
              </w:rPr>
              <w:t>分</w:t>
            </w:r>
          </w:p>
        </w:tc>
        <w:tc>
          <w:tcPr>
            <w:tcW w:w="4446" w:type="dxa"/>
            <w:tcBorders>
              <w:top w:val="single" w:color="auto" w:sz="4" w:space="0"/>
              <w:left w:val="single" w:color="auto" w:sz="4" w:space="0"/>
              <w:right w:val="single" w:color="auto" w:sz="4" w:space="0"/>
            </w:tcBorders>
            <w:vAlign w:val="center"/>
          </w:tcPr>
          <w:p>
            <w:pPr>
              <w:pStyle w:val="49"/>
              <w:numPr>
                <w:ilvl w:val="0"/>
                <w:numId w:val="1"/>
              </w:numPr>
              <w:rPr>
                <w:rFonts w:hint="eastAsia" w:asciiTheme="minorEastAsia" w:hAnsiTheme="minorEastAsia" w:eastAsiaTheme="minorEastAsia" w:cstheme="minorEastAsia"/>
                <w:kern w:val="2"/>
                <w:sz w:val="22"/>
                <w:szCs w:val="22"/>
                <w:highlight w:val="none"/>
                <w:shd w:val="clear" w:fill="FFFF00"/>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技术要求全部满足</w:t>
            </w:r>
            <w:r>
              <w:rPr>
                <w:rFonts w:hint="eastAsia" w:asciiTheme="minorEastAsia" w:hAnsiTheme="minorEastAsia" w:eastAsiaTheme="minorEastAsia" w:cstheme="minorEastAsia"/>
                <w:kern w:val="2"/>
                <w:sz w:val="22"/>
                <w:szCs w:val="22"/>
                <w:highlight w:val="none"/>
                <w:shd w:val="clear" w:fill="FFFF00"/>
                <w:lang w:val="en-US" w:eastAsia="zh-CN" w:bidi="ar-SA"/>
              </w:rPr>
              <w:t>得20</w:t>
            </w:r>
            <w:r>
              <w:rPr>
                <w:rFonts w:hint="eastAsia" w:asciiTheme="minorEastAsia" w:hAnsiTheme="minorEastAsia" w:eastAsiaTheme="minorEastAsia" w:cstheme="minorEastAsia"/>
                <w:kern w:val="2"/>
                <w:sz w:val="22"/>
                <w:szCs w:val="22"/>
                <w:highlight w:val="none"/>
                <w:shd w:val="clear" w:fill="FFFF00"/>
                <w:lang w:val="zh-CN" w:eastAsia="zh-CN" w:bidi="ar-SA"/>
              </w:rPr>
              <w:t>分，</w:t>
            </w:r>
            <w:r>
              <w:rPr>
                <w:rFonts w:hint="eastAsia" w:asciiTheme="minorEastAsia" w:hAnsiTheme="minorEastAsia" w:eastAsiaTheme="minorEastAsia" w:cstheme="minorEastAsia"/>
                <w:kern w:val="2"/>
                <w:sz w:val="22"/>
                <w:szCs w:val="22"/>
                <w:highlight w:val="none"/>
                <w:shd w:val="clear" w:fill="FFFF00"/>
                <w:lang w:val="en-US" w:eastAsia="zh-CN" w:bidi="ar-SA"/>
              </w:rPr>
              <w:t>均不设正偏离。</w:t>
            </w:r>
          </w:p>
          <w:p>
            <w:pPr>
              <w:pStyle w:val="49"/>
              <w:numPr>
                <w:ilvl w:val="0"/>
                <w:numId w:val="0"/>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技术要求中</w:t>
            </w:r>
            <w:r>
              <w:rPr>
                <w:rFonts w:hint="eastAsia" w:asciiTheme="minorEastAsia" w:hAnsiTheme="minorEastAsia" w:eastAsiaTheme="minorEastAsia" w:cstheme="minorEastAsia"/>
                <w:kern w:val="2"/>
                <w:sz w:val="22"/>
                <w:szCs w:val="22"/>
                <w:highlight w:val="none"/>
                <w:lang w:val="en-US" w:eastAsia="zh-CN" w:bidi="ar-SA"/>
              </w:rPr>
              <w:t>2项</w:t>
            </w:r>
            <w:r>
              <w:rPr>
                <w:rFonts w:hint="eastAsia" w:asciiTheme="minorEastAsia" w:hAnsiTheme="minorEastAsia" w:eastAsiaTheme="minorEastAsia" w:cstheme="minorEastAsia"/>
                <w:kern w:val="2"/>
                <w:sz w:val="22"/>
                <w:szCs w:val="22"/>
                <w:highlight w:val="none"/>
                <w:lang w:val="zh-CN" w:eastAsia="zh-CN" w:bidi="ar-SA"/>
              </w:rPr>
              <w:t>“▲”号项技术指标，每项负偏离扣</w:t>
            </w:r>
            <w:r>
              <w:rPr>
                <w:rFonts w:hint="eastAsia" w:asciiTheme="minorEastAsia" w:hAnsiTheme="minorEastAsia" w:eastAsiaTheme="minorEastAsia" w:cstheme="minorEastAsia"/>
                <w:kern w:val="2"/>
                <w:sz w:val="22"/>
                <w:szCs w:val="22"/>
                <w:highlight w:val="none"/>
                <w:lang w:val="en-US" w:eastAsia="zh-CN" w:bidi="ar-SA"/>
              </w:rPr>
              <w:t>6</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4项</w:t>
            </w:r>
            <w:r>
              <w:rPr>
                <w:rFonts w:hint="eastAsia" w:asciiTheme="minorEastAsia" w:hAnsiTheme="minorEastAsia" w:eastAsiaTheme="minorEastAsia" w:cstheme="minorEastAsia"/>
                <w:kern w:val="2"/>
                <w:sz w:val="22"/>
                <w:szCs w:val="22"/>
                <w:highlight w:val="none"/>
                <w:lang w:val="zh-CN" w:eastAsia="zh-CN" w:bidi="ar-SA"/>
              </w:rPr>
              <w:t>“无标识”技术指标，每项负偏离扣</w:t>
            </w: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分。</w:t>
            </w:r>
          </w:p>
          <w:p>
            <w:pPr>
              <w:numPr>
                <w:ilvl w:val="0"/>
                <w:numId w:val="0"/>
              </w:numPr>
              <w:spacing w:line="300" w:lineRule="exact"/>
              <w:ind w:leftChars="0"/>
              <w:jc w:val="both"/>
              <w:rPr>
                <w:rFonts w:hint="eastAsia" w:asciiTheme="minorEastAsia" w:hAnsiTheme="minorEastAsia" w:eastAsiaTheme="minorEastAsia" w:cstheme="minorEastAsia"/>
                <w:sz w:val="22"/>
                <w:szCs w:val="22"/>
                <w:highlight w:val="none"/>
                <w:lang w:val="en-US" w:eastAsia="zh-CN"/>
              </w:rPr>
            </w:pPr>
          </w:p>
        </w:tc>
        <w:tc>
          <w:tcPr>
            <w:tcW w:w="630" w:type="dxa"/>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b/>
                <w:bCs/>
                <w:sz w:val="22"/>
                <w:szCs w:val="22"/>
                <w:highlight w:val="none"/>
                <w:lang w:val="en-US" w:eastAsia="zh-CN"/>
              </w:rPr>
            </w:pPr>
            <w:r>
              <w:rPr>
                <w:rFonts w:hint="eastAsia" w:ascii="宋体" w:hAnsi="宋体" w:cs="宋体"/>
                <w:sz w:val="20"/>
                <w:szCs w:val="20"/>
                <w:highlight w:val="none"/>
                <w:shd w:val="clear" w:fill="FFFF00"/>
                <w:lang w:val="en-US" w:eastAsia="zh-CN"/>
              </w:rPr>
              <w:t>20分</w:t>
            </w:r>
          </w:p>
        </w:tc>
        <w:tc>
          <w:tcPr>
            <w:tcW w:w="2635" w:type="dxa"/>
            <w:vMerge w:val="continue"/>
            <w:tcBorders>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9" w:hRule="atLeast"/>
          <w:jc w:val="center"/>
        </w:trPr>
        <w:tc>
          <w:tcPr>
            <w:tcW w:w="739" w:type="dxa"/>
            <w:vMerge w:val="continue"/>
            <w:tcBorders>
              <w:bottom w:val="single" w:color="auto" w:sz="4" w:space="0"/>
              <w:right w:val="single" w:color="auto" w:sz="4" w:space="0"/>
            </w:tcBorders>
            <w:vAlign w:val="center"/>
          </w:tcPr>
          <w:p>
            <w:pPr>
              <w:pStyle w:val="49"/>
            </w:pPr>
          </w:p>
        </w:tc>
        <w:tc>
          <w:tcPr>
            <w:tcW w:w="846" w:type="dxa"/>
            <w:vMerge w:val="continue"/>
            <w:tcBorders>
              <w:bottom w:val="single" w:color="auto" w:sz="4" w:space="0"/>
              <w:right w:val="single" w:color="auto" w:sz="4" w:space="0"/>
            </w:tcBorders>
            <w:vAlign w:val="center"/>
          </w:tcPr>
          <w:p>
            <w:pPr>
              <w:pStyle w:val="49"/>
            </w:pPr>
          </w:p>
        </w:tc>
        <w:tc>
          <w:tcPr>
            <w:tcW w:w="5910" w:type="dxa"/>
            <w:gridSpan w:val="3"/>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both"/>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w:t>
            </w:r>
          </w:p>
          <w:p>
            <w:pPr>
              <w:numPr>
                <w:ilvl w:val="0"/>
                <w:numId w:val="0"/>
              </w:numPr>
              <w:spacing w:line="300" w:lineRule="exact"/>
              <w:jc w:val="both"/>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ind w:leftChars="0"/>
              <w:jc w:val="both"/>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▲标识的指标负偏离≥</w:t>
            </w: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项，</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参数指标</w:t>
            </w:r>
            <w:r>
              <w:rPr>
                <w:rFonts w:hint="eastAsia" w:asciiTheme="minorEastAsia" w:hAnsiTheme="minorEastAsia" w:eastAsiaTheme="minorEastAsia" w:cstheme="minorEastAsia"/>
                <w:b/>
                <w:bCs/>
                <w:sz w:val="22"/>
                <w:szCs w:val="22"/>
                <w:highlight w:val="none"/>
                <w:lang w:eastAsia="zh-CN"/>
              </w:rPr>
              <w:t>正</w:t>
            </w:r>
            <w:r>
              <w:rPr>
                <w:rFonts w:hint="eastAsia" w:asciiTheme="minorEastAsia" w:hAnsiTheme="minorEastAsia" w:eastAsiaTheme="minorEastAsia" w:cstheme="minorEastAsia"/>
                <w:b/>
                <w:bCs/>
                <w:sz w:val="22"/>
                <w:szCs w:val="22"/>
                <w:highlight w:val="none"/>
              </w:rPr>
              <w:t>负偏离情况</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项得0分；</w:t>
            </w:r>
          </w:p>
          <w:p>
            <w:pPr>
              <w:pStyle w:val="49"/>
              <w:rPr>
                <w:rFonts w:hint="eastAsia" w:ascii="宋体" w:hAnsi="宋体" w:cs="宋体"/>
                <w:sz w:val="20"/>
                <w:szCs w:val="20"/>
                <w:highlight w:val="none"/>
                <w:lang w:val="en-US" w:eastAsia="zh-CN"/>
              </w:rPr>
            </w:pPr>
            <w:r>
              <w:rPr>
                <w:rFonts w:hint="eastAsia" w:asciiTheme="minorEastAsia" w:hAnsiTheme="minorEastAsia" w:eastAsiaTheme="minorEastAsia" w:cstheme="minorEastAsia"/>
                <w:b/>
                <w:bCs/>
                <w:sz w:val="22"/>
                <w:szCs w:val="22"/>
                <w:highlight w:val="none"/>
                <w:lang w:val="en-US" w:eastAsia="zh-CN"/>
              </w:rPr>
              <w:t>3.</w:t>
            </w:r>
            <w:r>
              <w:rPr>
                <w:rFonts w:hint="eastAsia" w:asciiTheme="minorEastAsia" w:hAnsiTheme="minorEastAsia" w:eastAsiaTheme="minorEastAsia" w:cstheme="minorEastAsia"/>
                <w:b/>
                <w:bCs/>
                <w:sz w:val="22"/>
                <w:szCs w:val="22"/>
                <w:highlight w:val="none"/>
              </w:rPr>
              <w:t>▲标识的指标和“无标识”指标负偏离≥5项，</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参数指标</w:t>
            </w:r>
            <w:r>
              <w:rPr>
                <w:rFonts w:hint="eastAsia" w:asciiTheme="minorEastAsia" w:hAnsiTheme="minorEastAsia" w:eastAsiaTheme="minorEastAsia" w:cstheme="minorEastAsia"/>
                <w:b/>
                <w:bCs/>
                <w:sz w:val="22"/>
                <w:szCs w:val="22"/>
                <w:highlight w:val="none"/>
                <w:lang w:eastAsia="zh-CN"/>
              </w:rPr>
              <w:t>正</w:t>
            </w:r>
            <w:r>
              <w:rPr>
                <w:rFonts w:hint="eastAsia" w:asciiTheme="minorEastAsia" w:hAnsiTheme="minorEastAsia" w:eastAsiaTheme="minorEastAsia" w:cstheme="minorEastAsia"/>
                <w:b/>
                <w:bCs/>
                <w:sz w:val="22"/>
                <w:szCs w:val="22"/>
                <w:highlight w:val="none"/>
              </w:rPr>
              <w:t>负偏离情况</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lang w:val="en-US" w:eastAsia="zh-CN"/>
              </w:rPr>
              <w:t>项</w:t>
            </w:r>
            <w:r>
              <w:rPr>
                <w:rFonts w:hint="eastAsia" w:asciiTheme="minorEastAsia" w:hAnsiTheme="minorEastAsia" w:eastAsiaTheme="minorEastAsia" w:cstheme="minorEastAsia"/>
                <w:b/>
                <w:bCs/>
                <w:sz w:val="22"/>
                <w:szCs w:val="22"/>
                <w:highlight w:val="none"/>
              </w:rPr>
              <w:t>得0分。</w:t>
            </w:r>
          </w:p>
        </w:tc>
        <w:tc>
          <w:tcPr>
            <w:tcW w:w="2635" w:type="dxa"/>
            <w:vMerge w:val="continue"/>
            <w:tcBorders>
              <w:bottom w:val="single" w:color="auto" w:sz="4" w:space="0"/>
              <w:right w:val="single" w:color="auto" w:sz="4" w:space="0"/>
            </w:tcBorders>
            <w:vAlign w:val="center"/>
          </w:tcPr>
          <w:p>
            <w:pPr>
              <w:pStyle w:val="49"/>
              <w:rPr>
                <w:rFonts w:hint="eastAsia" w:ascii="宋体" w:hAnsi="宋体" w:cs="宋体"/>
                <w:sz w:val="20"/>
                <w:szCs w:val="2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63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0.5分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63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635"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635"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635"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635"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所投产品是否产生过不良事件，投标人须如实填写，并须国家药品监督管理局官网截图同时生产厂家承诺并加盖生产厂家及投标人公章，有1项扣3分。</w:t>
            </w:r>
          </w:p>
        </w:tc>
        <w:tc>
          <w:tcPr>
            <w:tcW w:w="2635"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635"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635"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63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p>
    <w:p>
      <w:pPr>
        <w:pStyle w:val="4"/>
        <w:spacing w:beforeLines="50" w:afterLines="50" w:line="415" w:lineRule="auto"/>
        <w:rPr>
          <w:rFonts w:hint="eastAsia" w:ascii="黑体" w:hAnsi="黑体"/>
          <w:b w:val="0"/>
          <w:sz w:val="28"/>
          <w:szCs w:val="28"/>
          <w:highlight w:val="none"/>
        </w:rPr>
      </w:pPr>
    </w:p>
    <w:p>
      <w:pPr>
        <w:pStyle w:val="4"/>
        <w:spacing w:beforeLines="50" w:afterLines="50" w:line="415" w:lineRule="auto"/>
        <w:rPr>
          <w:rFonts w:hint="eastAsia" w:ascii="黑体" w:hAnsi="黑体"/>
          <w:b w:val="0"/>
          <w:sz w:val="28"/>
          <w:szCs w:val="28"/>
          <w:highlight w:val="none"/>
        </w:rPr>
      </w:pPr>
    </w:p>
    <w:p>
      <w:pPr>
        <w:pStyle w:val="4"/>
        <w:spacing w:beforeLines="50" w:afterLines="50" w:line="415" w:lineRule="auto"/>
        <w:rPr>
          <w:rFonts w:hint="eastAsia" w:ascii="黑体" w:hAnsi="黑体"/>
          <w:b w:val="0"/>
          <w:sz w:val="28"/>
          <w:szCs w:val="28"/>
          <w:highlight w:val="none"/>
        </w:rPr>
      </w:pPr>
    </w:p>
    <w:p>
      <w:pPr>
        <w:pStyle w:val="4"/>
        <w:spacing w:beforeLines="50" w:afterLines="50" w:line="415" w:lineRule="auto"/>
        <w:rPr>
          <w:rFonts w:hint="eastAsia" w:ascii="黑体" w:hAnsi="黑体"/>
          <w:b w:val="0"/>
          <w:sz w:val="28"/>
          <w:szCs w:val="28"/>
          <w:highlight w:val="none"/>
        </w:rPr>
      </w:pPr>
    </w:p>
    <w:p>
      <w:pPr>
        <w:rPr>
          <w:rFonts w:hint="eastAsia" w:ascii="黑体" w:hAnsi="黑体"/>
          <w:b w:val="0"/>
          <w:sz w:val="28"/>
          <w:szCs w:val="28"/>
          <w:highlight w:val="none"/>
        </w:rPr>
      </w:pPr>
    </w:p>
    <w:p>
      <w:pPr>
        <w:rPr>
          <w:rFonts w:hint="eastAsia" w:ascii="黑体" w:hAnsi="黑体"/>
          <w:b w:val="0"/>
          <w:sz w:val="28"/>
          <w:szCs w:val="28"/>
          <w:highlight w:val="none"/>
        </w:rPr>
      </w:pPr>
    </w:p>
    <w:p>
      <w:pPr>
        <w:pStyle w:val="4"/>
        <w:spacing w:beforeLines="50" w:afterLines="50" w:line="415" w:lineRule="auto"/>
        <w:rPr>
          <w:rFonts w:hint="eastAsia" w:ascii="黑体" w:hAnsi="黑体"/>
          <w:b w:val="0"/>
          <w:sz w:val="28"/>
          <w:szCs w:val="28"/>
          <w:highlight w:val="none"/>
        </w:rPr>
      </w:pPr>
    </w:p>
    <w:p>
      <w:pPr>
        <w:pStyle w:val="4"/>
        <w:spacing w:beforeLines="50" w:afterLines="50" w:line="415" w:lineRule="auto"/>
        <w:rPr>
          <w:rFonts w:hint="eastAsia" w:ascii="黑体" w:hAnsi="黑体"/>
          <w:b w:val="0"/>
          <w:sz w:val="28"/>
          <w:szCs w:val="28"/>
          <w:highlight w:val="none"/>
        </w:rPr>
      </w:pPr>
    </w:p>
    <w:bookmarkEnd w:id="58"/>
    <w:bookmarkEnd w:id="59"/>
    <w:bookmarkEnd w:id="60"/>
    <w:bookmarkEnd w:id="61"/>
    <w:bookmarkEnd w:id="62"/>
    <w:bookmarkEnd w:id="63"/>
    <w:bookmarkEnd w:id="64"/>
    <w:p>
      <w:pPr>
        <w:pStyle w:val="3"/>
        <w:keepNext w:val="0"/>
        <w:keepLines w:val="0"/>
        <w:adjustRightInd w:val="0"/>
        <w:snapToGrid w:val="0"/>
        <w:spacing w:line="560" w:lineRule="exact"/>
        <w:jc w:val="center"/>
        <w:rPr>
          <w:rFonts w:hint="eastAsia"/>
          <w:b w:val="0"/>
          <w:szCs w:val="44"/>
          <w:highlight w:val="none"/>
          <w:lang w:val="zh-CN"/>
        </w:rPr>
      </w:pPr>
      <w:bookmarkStart w:id="65" w:name="_Toc130888004"/>
      <w:bookmarkStart w:id="66" w:name="_Toc132186972"/>
      <w:bookmarkStart w:id="67" w:name="_Toc128154365"/>
      <w:bookmarkStart w:id="68" w:name="_Toc28382"/>
      <w:bookmarkStart w:id="69" w:name="_Toc130661175"/>
      <w:bookmarkStart w:id="70" w:name="_Toc132191256"/>
      <w:bookmarkStart w:id="71" w:name="_Toc128470292"/>
    </w:p>
    <w:p>
      <w:pPr>
        <w:pStyle w:val="3"/>
        <w:keepNext w:val="0"/>
        <w:keepLines w:val="0"/>
        <w:adjustRightInd w:val="0"/>
        <w:snapToGrid w:val="0"/>
        <w:spacing w:line="560" w:lineRule="exact"/>
        <w:jc w:val="center"/>
        <w:rPr>
          <w:rFonts w:hint="eastAsia"/>
          <w:b w:val="0"/>
          <w:szCs w:val="44"/>
          <w:highlight w:val="none"/>
          <w:lang w:val="zh-CN"/>
        </w:rPr>
      </w:pPr>
    </w:p>
    <w:p>
      <w:pPr>
        <w:pStyle w:val="3"/>
        <w:keepNext w:val="0"/>
        <w:keepLines w:val="0"/>
        <w:adjustRightInd w:val="0"/>
        <w:snapToGrid w:val="0"/>
        <w:spacing w:line="560" w:lineRule="exact"/>
        <w:jc w:val="center"/>
        <w:rPr>
          <w:rFonts w:hint="eastAsia"/>
          <w:b w:val="0"/>
          <w:szCs w:val="44"/>
          <w:highlight w:val="none"/>
          <w:lang w:val="zh-CN"/>
        </w:rPr>
      </w:pPr>
    </w:p>
    <w:p>
      <w:pPr>
        <w:pStyle w:val="3"/>
        <w:keepNext w:val="0"/>
        <w:keepLines w:val="0"/>
        <w:adjustRightInd w:val="0"/>
        <w:snapToGrid w:val="0"/>
        <w:spacing w:line="560" w:lineRule="exact"/>
        <w:jc w:val="center"/>
        <w:rPr>
          <w:rFonts w:hint="eastAsia"/>
          <w:b w:val="0"/>
          <w:szCs w:val="44"/>
          <w:highlight w:val="none"/>
          <w:lang w:val="zh-CN"/>
        </w:rPr>
      </w:pPr>
    </w:p>
    <w:p>
      <w:pPr>
        <w:pStyle w:val="3"/>
        <w:keepNext w:val="0"/>
        <w:keepLines w:val="0"/>
        <w:adjustRightInd w:val="0"/>
        <w:snapToGrid w:val="0"/>
        <w:spacing w:line="560" w:lineRule="exact"/>
        <w:jc w:val="center"/>
        <w:rPr>
          <w:rFonts w:hint="eastAsia"/>
          <w:b w:val="0"/>
          <w:szCs w:val="44"/>
          <w:highlight w:val="none"/>
          <w:lang w:val="zh-CN"/>
        </w:rPr>
      </w:pPr>
    </w:p>
    <w:p>
      <w:pPr>
        <w:pStyle w:val="3"/>
        <w:keepNext w:val="0"/>
        <w:keepLines w:val="0"/>
        <w:adjustRightInd w:val="0"/>
        <w:snapToGrid w:val="0"/>
        <w:spacing w:line="560" w:lineRule="exact"/>
        <w:jc w:val="center"/>
        <w:rPr>
          <w:rFonts w:hint="eastAsia"/>
          <w:b w:val="0"/>
          <w:szCs w:val="44"/>
          <w:highlight w:val="none"/>
          <w:lang w:val="zh-CN"/>
        </w:rPr>
      </w:pPr>
    </w:p>
    <w:p>
      <w:pPr>
        <w:pStyle w:val="3"/>
        <w:keepNext w:val="0"/>
        <w:keepLines w:val="0"/>
        <w:adjustRightInd w:val="0"/>
        <w:snapToGrid w:val="0"/>
        <w:spacing w:line="560" w:lineRule="exact"/>
        <w:jc w:val="center"/>
        <w:rPr>
          <w:rFonts w:hint="eastAsia"/>
          <w:b w:val="0"/>
          <w:szCs w:val="44"/>
          <w:highlight w:val="none"/>
          <w:lang w:val="zh-CN"/>
        </w:rPr>
      </w:pPr>
    </w:p>
    <w:p>
      <w:pPr>
        <w:pStyle w:val="3"/>
        <w:keepNext w:val="0"/>
        <w:keepLines w:val="0"/>
        <w:adjustRightInd w:val="0"/>
        <w:snapToGrid w:val="0"/>
        <w:spacing w:line="560" w:lineRule="exact"/>
        <w:jc w:val="center"/>
        <w:rPr>
          <w:rFonts w:hint="eastAsia"/>
          <w:b w:val="0"/>
          <w:szCs w:val="44"/>
          <w:highlight w:val="none"/>
          <w:lang w:val="zh-CN"/>
        </w:rPr>
      </w:pPr>
    </w:p>
    <w:p>
      <w:pPr>
        <w:pStyle w:val="3"/>
        <w:keepNext w:val="0"/>
        <w:keepLines w:val="0"/>
        <w:adjustRightInd w:val="0"/>
        <w:snapToGrid w:val="0"/>
        <w:spacing w:line="560" w:lineRule="exact"/>
        <w:jc w:val="center"/>
        <w:rPr>
          <w:rFonts w:hint="eastAsia"/>
          <w:b w:val="0"/>
          <w:szCs w:val="44"/>
          <w:highlight w:val="none"/>
          <w:lang w:val="zh-CN"/>
        </w:rPr>
      </w:pPr>
    </w:p>
    <w:p>
      <w:pPr>
        <w:pStyle w:val="3"/>
        <w:keepNext w:val="0"/>
        <w:keepLines w:val="0"/>
        <w:adjustRightInd w:val="0"/>
        <w:snapToGrid w:val="0"/>
        <w:spacing w:line="560" w:lineRule="exact"/>
        <w:jc w:val="center"/>
        <w:rPr>
          <w:rFonts w:hint="eastAsia"/>
          <w:b w:val="0"/>
          <w:szCs w:val="44"/>
          <w:highlight w:val="none"/>
          <w:lang w:val="zh-CN"/>
        </w:rPr>
      </w:pPr>
    </w:p>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2"/>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20分）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20分）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50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50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ind w:firstLine="2200" w:firstLineChars="500"/>
        <w:jc w:val="both"/>
        <w:rPr>
          <w:b w:val="0"/>
          <w:szCs w:val="44"/>
          <w:highlight w:val="none"/>
          <w:lang w:val="zh-CN"/>
        </w:rPr>
      </w:pPr>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3"/>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全自动化学发光免疫分析仪</w:t>
      </w:r>
    </w:p>
    <w:p>
      <w:pPr>
        <w:numPr>
          <w:ilvl w:val="0"/>
          <w:numId w:val="3"/>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w:t>
      </w:r>
      <w:r>
        <w:rPr>
          <w:rFonts w:hint="eastAsia" w:ascii="黑体" w:hAnsi="黑体" w:eastAsia="黑体" w:cs="黑体"/>
          <w:bCs/>
          <w:color w:val="auto"/>
          <w:sz w:val="28"/>
          <w:szCs w:val="28"/>
          <w:highlight w:val="none"/>
          <w:u w:val="single"/>
          <w:lang w:val="en-US" w:eastAsia="zh-CN"/>
        </w:rPr>
        <w:t>23</w:t>
      </w:r>
    </w:p>
    <w:p>
      <w:pPr>
        <w:numPr>
          <w:ilvl w:val="0"/>
          <w:numId w:val="3"/>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全自动化学发光免疫分析仪</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30</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30</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29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29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bCs/>
          <w:color w:val="auto"/>
          <w:sz w:val="28"/>
          <w:szCs w:val="28"/>
          <w:highlight w:val="none"/>
          <w:u w:val="single"/>
        </w:rPr>
        <w:t xml:space="preserve"> </w:t>
      </w:r>
      <w:r>
        <w:rPr>
          <w:rFonts w:hint="eastAsia"/>
          <w:bCs/>
          <w:color w:val="auto"/>
          <w:sz w:val="28"/>
          <w:szCs w:val="28"/>
          <w:highlight w:val="none"/>
          <w:u w:val="single"/>
          <w:lang w:val="en-US" w:eastAsia="zh-CN"/>
        </w:rPr>
        <w:t>4</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29</w:t>
      </w:r>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30564"/>
      <w:bookmarkStart w:id="74" w:name="_Toc128470293"/>
      <w:bookmarkStart w:id="75" w:name="_Toc130888005"/>
      <w:bookmarkStart w:id="76" w:name="_Toc130661176"/>
      <w:bookmarkStart w:id="77" w:name="_Toc132191257"/>
      <w:bookmarkStart w:id="78" w:name="_Toc32050"/>
      <w:bookmarkStart w:id="79" w:name="_Toc9692"/>
      <w:bookmarkStart w:id="80" w:name="_Toc28545"/>
      <w:bookmarkStart w:id="81" w:name="_Toc21632"/>
      <w:bookmarkStart w:id="82" w:name="_Toc112768491"/>
      <w:bookmarkStart w:id="83" w:name="_Toc112317781"/>
      <w:bookmarkStart w:id="84" w:name="_Toc132186973"/>
      <w:bookmarkStart w:id="85" w:name="_Toc128154366"/>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30945"/>
      <w:bookmarkStart w:id="87" w:name="_Toc128150777"/>
      <w:bookmarkStart w:id="88" w:name="_Toc128397969"/>
      <w:bookmarkStart w:id="89" w:name="_Toc189"/>
      <w:bookmarkStart w:id="90" w:name="_Toc130887499"/>
      <w:bookmarkStart w:id="91" w:name="_Toc25703"/>
      <w:bookmarkStart w:id="92" w:name="_Toc128151026"/>
      <w:bookmarkStart w:id="93" w:name="_Toc128150133"/>
      <w:bookmarkStart w:id="94" w:name="_Toc127820563"/>
      <w:bookmarkStart w:id="95" w:name="_Toc22387"/>
      <w:bookmarkStart w:id="96" w:name="_Toc132190633"/>
      <w:bookmarkStart w:id="97" w:name="_Toc128470295"/>
      <w:bookmarkStart w:id="98" w:name="_Toc128154368"/>
      <w:bookmarkStart w:id="99" w:name="_Toc130888007"/>
      <w:bookmarkStart w:id="100" w:name="_Toc132191259"/>
      <w:bookmarkStart w:id="101" w:name="_Toc132186975"/>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tbl>
      <w:tblPr>
        <w:tblStyle w:val="41"/>
        <w:tblpPr w:leftFromText="180" w:rightFromText="180" w:vertAnchor="text" w:horzAnchor="page" w:tblpX="1267" w:tblpY="84"/>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5"/>
        <w:gridCol w:w="1407"/>
        <w:gridCol w:w="843"/>
        <w:gridCol w:w="5385"/>
        <w:gridCol w:w="63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98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合同签订后3个月内交付，交付地点由甲方指定。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2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签订合同付（预付）0%，物资到货（服务完成）验收后付95%。验收合格后满1年无质量问题支付剩余5%（不超过5%）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履约保证金/质量保证金</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无</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产品包装和运输要求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按照国家、行业相关标准规范，产品确保包装完好，运输确保不对产品造成损伤。</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40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保修年限不低于3年，全年故障停机时间不高于5%（按365日/年计算)。故障停机每超出1天，按两倍时间延保。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4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提供不少于1人次、1天的工程师维修培训。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维修响应时间≤1小时，维修到达现场时间≤4小时。</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备品备件要求（零配件）</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由供应商承诺设备零配件供应≥8年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物资编目编码、打码贴签要求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本项目对物资的编目编码、打码贴签要求，报价供应商应当予以明确响应，相关费用包含在报价中。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bl>
    <w:p>
      <w:pPr>
        <w:pStyle w:val="113"/>
        <w:spacing w:line="560" w:lineRule="exact"/>
        <w:ind w:left="0" w:leftChars="0"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★11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bookmarkEnd w:id="97"/>
    <w:bookmarkEnd w:id="98"/>
    <w:bookmarkEnd w:id="99"/>
    <w:bookmarkEnd w:id="100"/>
    <w:bookmarkEnd w:id="101"/>
    <w:p>
      <w:pPr>
        <w:pStyle w:val="4"/>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16"/>
        <w:gridCol w:w="1236"/>
        <w:gridCol w:w="566"/>
        <w:gridCol w:w="109"/>
        <w:gridCol w:w="2790"/>
        <w:gridCol w:w="1331"/>
        <w:gridCol w:w="943"/>
        <w:gridCol w:w="137"/>
        <w:gridCol w:w="655"/>
        <w:gridCol w:w="58"/>
        <w:gridCol w:w="10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1"/>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0"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12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2024-JQ06-W3623</w:t>
            </w:r>
          </w:p>
        </w:tc>
        <w:tc>
          <w:tcPr>
            <w:tcW w:w="346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33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default" w:ascii="黑体" w:hAnsi="宋体" w:eastAsia="黑体" w:cs="黑体"/>
                <w:i w:val="0"/>
                <w:color w:val="000000"/>
                <w:sz w:val="20"/>
                <w:szCs w:val="20"/>
                <w:u w:val="none"/>
                <w:lang w:val="en-US"/>
              </w:rPr>
              <w:t>全自动化学发光免疫分析仪</w:t>
            </w:r>
          </w:p>
        </w:tc>
        <w:tc>
          <w:tcPr>
            <w:tcW w:w="108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2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346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33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56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5310"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用于常规免疫项目；至少包括：心脏标志物、甲状腺功能、性激素、肿瘤标志物、传染病等</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具备NMPA认证</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检测方法</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采用直接化学发光法（标记物为吖啶酯或三联吡啶钌）</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检测速度</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单模块测试速度≥280测试/小时</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检测样本类型</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样本类型包括血清、血浆、全血、尿液等</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试剂通道</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总试剂通道数≥45个，自带冷藏功能</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加样系统</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采用一次性加样头加样</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检测项目</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auto"/>
                <w:kern w:val="0"/>
                <w:sz w:val="20"/>
                <w:szCs w:val="20"/>
                <w:u w:val="none"/>
                <w:lang w:val="en-US" w:eastAsia="zh-CN" w:bidi="ar"/>
              </w:rPr>
              <w:t>可开展项目≥50项，必须包含肿瘤标志物（糖类抗原CA724、神经元特异性烯醇化酶等）、心</w:t>
            </w:r>
            <w:r>
              <w:rPr>
                <w:rFonts w:hint="eastAsia" w:ascii="黑体" w:hAnsi="宋体" w:eastAsia="黑体" w:cs="黑体"/>
                <w:i w:val="0"/>
                <w:color w:val="000000"/>
                <w:kern w:val="0"/>
                <w:sz w:val="20"/>
                <w:szCs w:val="20"/>
                <w:u w:val="none"/>
                <w:lang w:val="en-US" w:eastAsia="zh-CN" w:bidi="ar"/>
              </w:rPr>
              <w:t>脏标志物（肌酸激酶MB同功酶、肌红蛋白等）、甲状腺功能类（甲状腺球蛋白等）、激素（胰岛素、人生长激素、抗缪勒试管激素、胰岛素样生长因子1等）检测项目</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样本位</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同时在机样本管数量≥380个，并可连续装载，可使用原始管直接上机检测</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10</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机载试剂位</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机载主试剂位≥40个/单模块</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试剂稳定性</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试剂机上稳定时间≥90天</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定标方式</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两点定标</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拓展功能</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须模块化设计，具有可拓展功能，可以通过前、后处理、轨道与科室现有设备连接组成流水线</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主机一台、开机配套试剂一套、性能验证试剂一套等</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相关证明材料不限于配置单或交货清单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配置要求2</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能与医院HIS、LIS系统进行对接，并提供对接费用</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验收标准方法</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611" w:type="dxa"/>
            <w:gridSpan w:val="9"/>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▲标识的指标负偏离≥2项，“参数指标正负偏离情况”为0分</w:t>
            </w: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▲标识的指标和“无标识”指标负偏离≥5项，“参数指标正负偏离情况”为0分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732"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”条款必须提供技术支持材料（项目有具体要求的以项目为准）：产品规格表、产品宣传彩页、技术白皮书、制造商官方网站发布的产品信息、说明书等或检测机构出具的检测报告、生产厂家的承诺书</w:t>
            </w:r>
            <w:r>
              <w:rPr>
                <w:rFonts w:hint="eastAsia" w:ascii="宋体" w:hAnsi="宋体" w:cs="宋体"/>
                <w:i w:val="0"/>
                <w:color w:val="000000"/>
                <w:kern w:val="0"/>
                <w:sz w:val="18"/>
                <w:szCs w:val="18"/>
                <w:u w:val="none"/>
                <w:lang w:val="en-US" w:eastAsia="zh-CN" w:bidi="ar"/>
              </w:rPr>
              <w:t>、配置清单</w:t>
            </w:r>
            <w:r>
              <w:rPr>
                <w:rFonts w:hint="eastAsia" w:ascii="宋体" w:hAnsi="宋体" w:eastAsia="宋体" w:cs="宋体"/>
                <w:i w:val="0"/>
                <w:color w:val="000000"/>
                <w:kern w:val="0"/>
                <w:sz w:val="18"/>
                <w:szCs w:val="18"/>
                <w:u w:val="none"/>
                <w:lang w:val="en-US" w:eastAsia="zh-CN" w:bidi="ar"/>
              </w:rPr>
              <w:t>等；对参数配置数量、定制产品或待开发软件等功能指标要求以投标人响应承诺为准。</w:t>
            </w:r>
          </w:p>
        </w:tc>
      </w:tr>
    </w:tbl>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706"/>
        <w:gridCol w:w="1216"/>
        <w:gridCol w:w="1384"/>
        <w:gridCol w:w="2233"/>
        <w:gridCol w:w="13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720" w:hRule="atLeast"/>
        </w:trPr>
        <w:tc>
          <w:tcPr>
            <w:tcW w:w="9361"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2922"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default" w:ascii="黑体" w:hAnsi="宋体" w:eastAsia="黑体" w:cs="黑体"/>
                <w:i w:val="0"/>
                <w:color w:val="000000"/>
                <w:sz w:val="20"/>
                <w:szCs w:val="20"/>
                <w:u w:val="none"/>
                <w:lang w:val="en-US"/>
              </w:rPr>
              <w:t>全自动化学发光免疫分析仪</w:t>
            </w:r>
          </w:p>
        </w:tc>
        <w:tc>
          <w:tcPr>
            <w:tcW w:w="1384"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3580"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2024-JQ06-W3623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5"/>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耗材（试剂）名称</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肌酸激酶MB同功酶</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17700</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肌红蛋白</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32000</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胰岛素</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14000</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甲状腺球蛋白</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19867</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人生长激素</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10908</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胰岛素样生长因子-1</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7000</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抗缪勒试管激素</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127450</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糖类抗原CA724</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37940</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7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神经元特异性烯醇化酶</w:t>
            </w:r>
          </w:p>
        </w:tc>
        <w:tc>
          <w:tcPr>
            <w:tcW w:w="1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w:t>
            </w:r>
          </w:p>
        </w:tc>
        <w:tc>
          <w:tcPr>
            <w:tcW w:w="13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2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39930</w:t>
            </w:r>
          </w:p>
        </w:tc>
        <w:tc>
          <w:tcPr>
            <w:tcW w:w="13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2.所投产品，需投标人根据设备配套情况全规格型号报价，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headerReference r:id="rId14" w:type="default"/>
          <w:footerReference r:id="rId15" w:type="default"/>
          <w:pgSz w:w="11906" w:h="16838"/>
          <w:pgMar w:top="1418" w:right="1134"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17172"/>
      <w:bookmarkStart w:id="103" w:name="_Toc31554"/>
      <w:bookmarkStart w:id="104" w:name="_Toc2550"/>
      <w:bookmarkStart w:id="105" w:name="_Toc112768494"/>
      <w:bookmarkStart w:id="106" w:name="_Toc7226"/>
      <w:bookmarkStart w:id="107" w:name="_Toc27977"/>
      <w:bookmarkStart w:id="108" w:name="_Toc128154369"/>
      <w:bookmarkStart w:id="109" w:name="_Toc132186976"/>
      <w:bookmarkStart w:id="110" w:name="_Toc128470296"/>
      <w:bookmarkStart w:id="111" w:name="_Toc130888008"/>
      <w:bookmarkStart w:id="112" w:name="_Toc130661177"/>
      <w:bookmarkStart w:id="113" w:name="_Toc132191260"/>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128470297"/>
      <w:bookmarkStart w:id="115" w:name="_Toc132186977"/>
      <w:bookmarkStart w:id="116" w:name="_Toc132191261"/>
      <w:bookmarkStart w:id="117" w:name="_Toc112768495"/>
      <w:bookmarkStart w:id="118" w:name="_Toc20638"/>
      <w:bookmarkStart w:id="119" w:name="_Toc128154370"/>
      <w:bookmarkStart w:id="120" w:name="_Toc130661178"/>
      <w:bookmarkStart w:id="121" w:name="_Toc9762"/>
      <w:bookmarkStart w:id="122" w:name="_Toc25715"/>
      <w:bookmarkStart w:id="123" w:name="_Toc15775"/>
      <w:bookmarkStart w:id="124" w:name="_Toc20706"/>
      <w:bookmarkStart w:id="125" w:name="_Toc130888009"/>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21913"/>
      <w:bookmarkStart w:id="127" w:name="_Toc12507"/>
      <w:bookmarkStart w:id="128" w:name="_Toc22250"/>
      <w:bookmarkStart w:id="129" w:name="_Toc128154371"/>
      <w:bookmarkStart w:id="130" w:name="_Toc3957"/>
      <w:bookmarkStart w:id="131" w:name="_Toc112768496"/>
      <w:bookmarkStart w:id="132" w:name="_Toc128470298"/>
      <w:bookmarkStart w:id="133" w:name="_Toc7592"/>
      <w:bookmarkStart w:id="134" w:name="_Toc130661179"/>
      <w:bookmarkStart w:id="135" w:name="_Toc132191262"/>
      <w:bookmarkStart w:id="136" w:name="_Toc28273"/>
      <w:bookmarkStart w:id="137" w:name="_Toc7039"/>
      <w:bookmarkStart w:id="138" w:name="_Toc130888010"/>
      <w:bookmarkStart w:id="139" w:name="_Toc132186978"/>
      <w:bookmarkStart w:id="140" w:name="_Toc2697"/>
      <w:bookmarkStart w:id="141" w:name="_Toc9283"/>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130888011"/>
      <w:bookmarkStart w:id="143" w:name="_Toc2301"/>
      <w:bookmarkStart w:id="144" w:name="_Toc128154372"/>
      <w:bookmarkStart w:id="145" w:name="_Toc15844"/>
      <w:bookmarkStart w:id="146" w:name="_Toc112768497"/>
      <w:bookmarkStart w:id="147" w:name="_Toc128470299"/>
      <w:bookmarkStart w:id="148" w:name="_Toc132191263"/>
      <w:bookmarkStart w:id="149" w:name="_Toc19051"/>
      <w:bookmarkStart w:id="150" w:name="_Toc7115"/>
      <w:bookmarkStart w:id="151" w:name="_Toc132186979"/>
      <w:bookmarkStart w:id="152" w:name="_Toc31837"/>
      <w:bookmarkStart w:id="153" w:name="_Toc12001"/>
      <w:bookmarkStart w:id="154" w:name="_Toc23995"/>
      <w:bookmarkStart w:id="155" w:name="_Toc23458"/>
      <w:bookmarkStart w:id="156" w:name="_Toc18208"/>
      <w:bookmarkStart w:id="157" w:name="_Toc130661180"/>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32186980"/>
      <w:bookmarkStart w:id="159" w:name="_Toc121216200"/>
      <w:bookmarkStart w:id="160" w:name="_Toc130661181"/>
      <w:bookmarkStart w:id="161" w:name="_Toc130888012"/>
      <w:bookmarkStart w:id="162" w:name="_Toc132191264"/>
      <w:bookmarkStart w:id="163" w:name="_Toc128154373"/>
      <w:bookmarkStart w:id="164" w:name="_Toc128470300"/>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28470301"/>
      <w:bookmarkStart w:id="166" w:name="_Toc130888013"/>
      <w:bookmarkStart w:id="167" w:name="_Toc132186981"/>
      <w:bookmarkStart w:id="168" w:name="_Toc121216201"/>
      <w:bookmarkStart w:id="169" w:name="_Toc132191265"/>
      <w:bookmarkStart w:id="170" w:name="_Toc130661182"/>
      <w:bookmarkStart w:id="171" w:name="_Toc128154374"/>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0661183"/>
      <w:bookmarkStart w:id="173" w:name="_Toc128470302"/>
      <w:bookmarkStart w:id="174" w:name="_Toc130888014"/>
      <w:bookmarkStart w:id="175" w:name="_Toc132191266"/>
      <w:bookmarkStart w:id="176" w:name="_Toc128154375"/>
      <w:bookmarkStart w:id="177" w:name="_Toc132186982"/>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28470303"/>
      <w:bookmarkStart w:id="179" w:name="_Toc128154376"/>
      <w:bookmarkStart w:id="180" w:name="_Toc132186983"/>
      <w:bookmarkStart w:id="181" w:name="_Toc132191267"/>
      <w:bookmarkStart w:id="182" w:name="_Toc130888015"/>
      <w:bookmarkStart w:id="183" w:name="_Toc130661184"/>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12768500"/>
      <w:bookmarkStart w:id="185" w:name="_Toc130888016"/>
      <w:bookmarkStart w:id="186" w:name="_Toc24432"/>
      <w:bookmarkStart w:id="187" w:name="_Toc26597"/>
      <w:bookmarkStart w:id="188" w:name="_Toc132191268"/>
      <w:bookmarkStart w:id="189" w:name="_Toc130661185"/>
      <w:bookmarkStart w:id="190" w:name="_Toc128154377"/>
      <w:bookmarkStart w:id="191" w:name="_Toc32477"/>
      <w:bookmarkStart w:id="192" w:name="_Toc996"/>
      <w:bookmarkStart w:id="193" w:name="_Toc15635"/>
      <w:bookmarkStart w:id="194" w:name="_Toc128470304"/>
      <w:bookmarkStart w:id="195" w:name="_Toc132186984"/>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14862"/>
      <w:bookmarkStart w:id="197" w:name="_Toc32494"/>
      <w:bookmarkStart w:id="198" w:name="_Toc28703"/>
      <w:bookmarkStart w:id="199" w:name="_Toc128470305"/>
      <w:bookmarkStart w:id="200" w:name="_Toc132191269"/>
      <w:bookmarkStart w:id="201" w:name="_Toc130888017"/>
      <w:bookmarkStart w:id="202" w:name="_Toc130661186"/>
      <w:bookmarkStart w:id="203" w:name="_Toc10300"/>
      <w:bookmarkStart w:id="204" w:name="_Toc121216205"/>
      <w:bookmarkStart w:id="205" w:name="_Toc132186985"/>
      <w:bookmarkStart w:id="206" w:name="_Toc128154378"/>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4394"/>
      <w:bookmarkStart w:id="208" w:name="_Toc121216206"/>
      <w:bookmarkStart w:id="209" w:name="_Toc132186986"/>
      <w:bookmarkStart w:id="210" w:name="_Toc8142"/>
      <w:bookmarkStart w:id="211" w:name="_Toc130661187"/>
      <w:bookmarkStart w:id="212" w:name="_Toc130888018"/>
      <w:bookmarkStart w:id="213" w:name="_Toc128470306"/>
      <w:bookmarkStart w:id="214" w:name="_Toc16995"/>
      <w:bookmarkStart w:id="215" w:name="_Toc7334"/>
      <w:bookmarkStart w:id="216" w:name="_Toc128154379"/>
      <w:bookmarkStart w:id="217" w:name="_Toc132191270"/>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30661188"/>
      <w:bookmarkStart w:id="219" w:name="_Toc23845"/>
      <w:bookmarkStart w:id="220" w:name="_Toc132186987"/>
      <w:bookmarkStart w:id="221" w:name="_Toc130888019"/>
      <w:bookmarkStart w:id="222" w:name="_Toc128154380"/>
      <w:bookmarkStart w:id="223" w:name="_Toc25665"/>
      <w:bookmarkStart w:id="224" w:name="_Toc128470307"/>
      <w:bookmarkStart w:id="225" w:name="_Toc21465"/>
      <w:bookmarkStart w:id="226" w:name="_Toc15882"/>
      <w:bookmarkStart w:id="227" w:name="_Toc132191271"/>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6" w:type="default"/>
          <w:footerReference r:id="rId17"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8"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谈判</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主机100M</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配套</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ascii="黑体" w:hAnsi="黑体" w:eastAsia="黑体"/>
          <w:color w:val="000000"/>
          <w:sz w:val="28"/>
          <w:highlight w:val="none"/>
        </w:rPr>
      </w:pPr>
    </w:p>
    <w:p>
      <w:pPr>
        <w:rPr>
          <w:rFonts w:ascii="黑体" w:hAnsi="黑体" w:eastAsia="黑体"/>
          <w:color w:val="000000"/>
          <w:sz w:val="28"/>
          <w:highlight w:val="none"/>
        </w:rPr>
      </w:pPr>
    </w:p>
    <w:p>
      <w:pPr>
        <w:rPr>
          <w:rFonts w:ascii="黑体" w:hAnsi="黑体" w:eastAsia="黑体"/>
          <w:color w:val="000000"/>
          <w:sz w:val="28"/>
          <w:highlight w:val="none"/>
        </w:rPr>
      </w:pPr>
    </w:p>
    <w:p>
      <w:pPr>
        <w:rPr>
          <w:rFonts w:hint="default" w:ascii="黑体" w:hAnsi="黑体" w:eastAsia="黑体"/>
          <w:color w:val="000000"/>
          <w:sz w:val="28"/>
          <w:highlight w:val="none"/>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rPr>
          <w:rFonts w:hint="eastAsia" w:ascii="黑体" w:hAnsi="黑体" w:eastAsia="黑体"/>
          <w:color w:val="000000"/>
          <w:sz w:val="28"/>
          <w:highlight w:val="none"/>
          <w:lang w:val="en-US" w:eastAsia="zh-CN"/>
        </w:rPr>
      </w:pPr>
    </w:p>
    <w:p>
      <w:pPr>
        <w:spacing w:beforeLines="0" w:after="240" w:afterLines="100"/>
        <w:jc w:val="center"/>
        <w:rPr>
          <w:rFonts w:hint="eastAsia" w:eastAsia="方正小标宋简体"/>
          <w:sz w:val="44"/>
          <w:highlight w:val="none"/>
          <w:lang w:val="en-US" w:eastAsia="zh-CN"/>
        </w:rPr>
      </w:pPr>
      <w:bookmarkStart w:id="229" w:name="_Toc25122_WPSOffice_Level2"/>
      <w:r>
        <w:rPr>
          <w:rFonts w:hint="eastAsia" w:eastAsia="方正小标宋简体"/>
          <w:color w:val="auto"/>
          <w:sz w:val="44"/>
          <w:highlight w:val="none"/>
        </w:rPr>
        <w:t>检测（治疗）项目</w:t>
      </w:r>
      <w:r>
        <w:rPr>
          <w:rFonts w:hint="eastAsia" w:eastAsia="方正小标宋简体"/>
          <w:color w:val="auto"/>
          <w:sz w:val="44"/>
          <w:highlight w:val="none"/>
          <w:lang w:eastAsia="zh-CN"/>
        </w:rPr>
        <w:t>汇总</w:t>
      </w:r>
      <w:bookmarkEnd w:id="229"/>
    </w:p>
    <w:tbl>
      <w:tblPr>
        <w:tblStyle w:val="41"/>
        <w:tblW w:w="14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3825"/>
        <w:gridCol w:w="2227"/>
        <w:gridCol w:w="2573"/>
        <w:gridCol w:w="2033"/>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检测（治疗）项目</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检测项目价格（元）</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2</w:t>
            </w:r>
            <w:r>
              <w:rPr>
                <w:rFonts w:hint="eastAsia" w:asciiTheme="minorEastAsia" w:hAnsiTheme="minorEastAsia" w:eastAsiaTheme="minorEastAsia" w:cstheme="minorEastAsia"/>
                <w:b/>
                <w:bCs/>
                <w:color w:val="auto"/>
                <w:sz w:val="22"/>
                <w:szCs w:val="22"/>
                <w:highlight w:val="none"/>
              </w:rPr>
              <w:t>年用量(人份）</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检测项目1</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16.67</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17.67*1000人份</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17666.67.00</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9873"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合计</w:t>
            </w:r>
          </w:p>
        </w:tc>
        <w:tc>
          <w:tcPr>
            <w:tcW w:w="2033" w:type="dxa"/>
            <w:tcBorders>
              <w:top w:val="single" w:color="auto" w:sz="4" w:space="0"/>
              <w:left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bl>
    <w:p>
      <w:pPr>
        <w:pStyle w:val="49"/>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注：1.检测项目具体使用配套试剂或耗材详见附表</w:t>
      </w:r>
      <w:r>
        <w:rPr>
          <w:rFonts w:hint="eastAsia" w:hAnsi="黑体" w:cs="黑体"/>
          <w:sz w:val="21"/>
          <w:szCs w:val="21"/>
          <w:highlight w:val="none"/>
          <w:lang w:val="en-US" w:eastAsia="zh-CN"/>
        </w:rPr>
        <w:t>1</w:t>
      </w:r>
      <w:r>
        <w:rPr>
          <w:rFonts w:hint="eastAsia" w:ascii="黑体" w:hAnsi="黑体" w:eastAsia="黑体" w:cs="黑体"/>
          <w:sz w:val="21"/>
          <w:szCs w:val="21"/>
          <w:highlight w:val="none"/>
          <w:lang w:val="en-US" w:eastAsia="zh-CN"/>
        </w:rPr>
        <w:t>；</w:t>
      </w:r>
    </w:p>
    <w:p>
      <w:pPr>
        <w:pStyle w:val="49"/>
        <w:ind w:firstLine="420" w:firstLineChars="200"/>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2.</w:t>
      </w:r>
      <w:r>
        <w:rPr>
          <w:rFonts w:hint="eastAsia" w:hAnsi="黑体" w:cs="黑体"/>
          <w:sz w:val="21"/>
          <w:szCs w:val="21"/>
          <w:highlight w:val="none"/>
          <w:lang w:val="en-US" w:eastAsia="zh-CN"/>
        </w:rPr>
        <w:t>附表中</w:t>
      </w:r>
      <w:r>
        <w:rPr>
          <w:rFonts w:hint="eastAsia" w:ascii="黑体" w:hAnsi="黑体" w:eastAsia="黑体" w:cs="黑体"/>
          <w:sz w:val="21"/>
          <w:szCs w:val="21"/>
          <w:highlight w:val="none"/>
          <w:lang w:val="en-US" w:eastAsia="zh-CN"/>
        </w:rPr>
        <w:t>主要试剂报价作为评分依据。</w:t>
      </w: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hint="eastAsia" w:ascii="黑体" w:hAnsi="黑体" w:eastAsia="黑体"/>
          <w:color w:val="000000"/>
          <w:sz w:val="28"/>
          <w:highlight w:val="none"/>
          <w:lang w:val="en-US" w:eastAsia="zh-CN"/>
        </w:rPr>
      </w:pPr>
    </w:p>
    <w:p>
      <w:pPr>
        <w:rPr>
          <w:rFonts w:ascii="黑体" w:hAnsi="黑体" w:eastAsia="黑体"/>
          <w:color w:val="000000"/>
          <w:sz w:val="28"/>
          <w:highlight w:val="none"/>
        </w:rPr>
      </w:pPr>
      <w:bookmarkStart w:id="230" w:name="_Toc739_WPSOffice_Level2"/>
    </w:p>
    <w:p>
      <w:pPr>
        <w:rPr>
          <w:rFonts w:hint="default" w:ascii="黑体" w:hAnsi="黑体" w:eastAsia="黑体"/>
          <w:color w:val="000000"/>
          <w:sz w:val="28"/>
          <w:highlight w:val="none"/>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3.1</w:t>
      </w:r>
    </w:p>
    <w:p>
      <w:pPr>
        <w:keepNext w:val="0"/>
        <w:keepLines w:val="0"/>
        <w:pageBreakBefore w:val="0"/>
        <w:widowControl w:val="0"/>
        <w:kinsoku/>
        <w:wordWrap/>
        <w:overflowPunct/>
        <w:topLinePunct w:val="0"/>
        <w:autoSpaceDE/>
        <w:autoSpaceDN/>
        <w:bidi w:val="0"/>
        <w:adjustRightInd/>
        <w:snapToGrid/>
        <w:spacing w:beforeLines="0"/>
        <w:jc w:val="center"/>
        <w:textAlignment w:val="auto"/>
        <w:rPr>
          <w:rFonts w:hint="eastAsia" w:eastAsia="方正小标宋简体"/>
          <w:color w:val="auto"/>
          <w:sz w:val="44"/>
          <w:highlight w:val="none"/>
        </w:rPr>
      </w:pPr>
    </w:p>
    <w:p>
      <w:pPr>
        <w:keepNext w:val="0"/>
        <w:keepLines w:val="0"/>
        <w:pageBreakBefore w:val="0"/>
        <w:widowControl w:val="0"/>
        <w:kinsoku/>
        <w:wordWrap/>
        <w:overflowPunct/>
        <w:topLinePunct w:val="0"/>
        <w:autoSpaceDE/>
        <w:autoSpaceDN/>
        <w:bidi w:val="0"/>
        <w:adjustRightInd/>
        <w:snapToGrid/>
        <w:spacing w:beforeLines="0"/>
        <w:jc w:val="center"/>
        <w:textAlignment w:val="auto"/>
        <w:rPr>
          <w:rFonts w:hint="default" w:eastAsia="方正小标宋简体"/>
          <w:color w:val="auto"/>
          <w:sz w:val="44"/>
          <w:highlight w:val="none"/>
          <w:lang w:val="en-US" w:eastAsia="zh-CN"/>
        </w:rPr>
      </w:pPr>
      <w:r>
        <w:rPr>
          <w:rFonts w:hint="eastAsia" w:eastAsia="方正小标宋简体"/>
          <w:color w:val="auto"/>
          <w:sz w:val="44"/>
          <w:highlight w:val="none"/>
        </w:rPr>
        <w:t>检测（治疗）项目清单及</w:t>
      </w:r>
      <w:r>
        <w:rPr>
          <w:rFonts w:hint="eastAsia" w:eastAsia="方正小标宋简体"/>
          <w:sz w:val="44"/>
          <w:highlight w:val="none"/>
        </w:rPr>
        <w:t>价格构成表</w:t>
      </w:r>
      <w:bookmarkEnd w:id="230"/>
    </w:p>
    <w:p>
      <w:pPr>
        <w:spacing w:beforeLines="0" w:afterLines="0"/>
        <w:rPr>
          <w:rFonts w:hint="eastAsia" w:ascii="仿宋_GB2312" w:hAnsi="仿宋_GB2312" w:eastAsia="仿宋_GB2312"/>
          <w:color w:val="auto"/>
          <w:sz w:val="28"/>
          <w:highlight w:val="none"/>
        </w:rPr>
      </w:pPr>
      <w:bookmarkStart w:id="231" w:name="_Toc16244_WPSOffice_Level2"/>
      <w:r>
        <w:rPr>
          <w:rFonts w:hint="eastAsia" w:ascii="黑体" w:hAnsi="黑体" w:eastAsia="黑体"/>
          <w:color w:val="auto"/>
          <w:sz w:val="20"/>
          <w:highlight w:val="none"/>
        </w:rPr>
        <w:t>项目名称：                                                                                        项目编号：</w:t>
      </w:r>
      <w:bookmarkEnd w:id="231"/>
      <w:r>
        <w:rPr>
          <w:rFonts w:hint="eastAsia" w:ascii="仿宋_GB2312" w:hAnsi="仿宋_GB2312" w:eastAsia="仿宋_GB2312"/>
          <w:color w:val="auto"/>
          <w:sz w:val="28"/>
          <w:highlight w:val="none"/>
        </w:rPr>
        <w:t xml:space="preserve">     </w:t>
      </w:r>
    </w:p>
    <w:tbl>
      <w:tblPr>
        <w:tblStyle w:val="41"/>
        <w:tblW w:w="14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275"/>
        <w:gridCol w:w="51"/>
        <w:gridCol w:w="1302"/>
        <w:gridCol w:w="1617"/>
        <w:gridCol w:w="1410"/>
        <w:gridCol w:w="1680"/>
        <w:gridCol w:w="875"/>
        <w:gridCol w:w="1319"/>
        <w:gridCol w:w="1211"/>
        <w:gridCol w:w="131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9" w:hRule="atLeast"/>
          <w:jc w:val="center"/>
        </w:trPr>
        <w:tc>
          <w:tcPr>
            <w:tcW w:w="14209"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Times New Roman"/>
                <w:b/>
                <w:color w:val="auto"/>
                <w:kern w:val="2"/>
                <w:sz w:val="21"/>
                <w:szCs w:val="24"/>
                <w:highlight w:val="none"/>
                <w:lang w:val="en-US" w:eastAsia="zh-CN" w:bidi="ar-SA"/>
              </w:rPr>
            </w:pPr>
            <w:r>
              <w:rPr>
                <w:rFonts w:hint="eastAsia" w:asciiTheme="minorEastAsia" w:hAnsiTheme="minorEastAsia" w:eastAsiaTheme="minorEastAsia" w:cstheme="minorEastAsia"/>
                <w:b/>
                <w:color w:val="auto"/>
                <w:kern w:val="2"/>
                <w:sz w:val="22"/>
                <w:szCs w:val="28"/>
                <w:highlight w:val="none"/>
                <w:lang w:val="en-US" w:eastAsia="zh-CN" w:bidi="ar-SA"/>
              </w:rPr>
              <w:t>主要试剂明细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序号</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检测（治疗）项目</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both"/>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eastAsia="zh-CN"/>
              </w:rPr>
              <w:t>试剂名称</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sz w:val="22"/>
                <w:szCs w:val="22"/>
                <w:highlight w:val="none"/>
                <w:lang w:val="en-US" w:eastAsia="zh-CN"/>
              </w:rPr>
              <w:t>注册证或备案证号</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规格</w:t>
            </w:r>
            <w:r>
              <w:rPr>
                <w:rFonts w:hint="eastAsia" w:asciiTheme="minorEastAsia" w:hAnsiTheme="minorEastAsia" w:eastAsiaTheme="minorEastAsia" w:cstheme="minorEastAsia"/>
                <w:color w:val="auto"/>
                <w:sz w:val="22"/>
                <w:szCs w:val="22"/>
                <w:highlight w:val="none"/>
                <w:lang w:eastAsia="zh-CN"/>
              </w:rPr>
              <w:t>型号</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生产企业</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计量单位</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单价</w:t>
            </w:r>
          </w:p>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（元）</w:t>
            </w:r>
          </w:p>
        </w:tc>
        <w:tc>
          <w:tcPr>
            <w:tcW w:w="12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val="en-US" w:eastAsia="zh-CN"/>
              </w:rPr>
              <w:t>2年预估用量</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总价</w:t>
            </w:r>
            <w:r>
              <w:rPr>
                <w:rFonts w:hint="eastAsia" w:asciiTheme="minorEastAsia" w:hAnsiTheme="minorEastAsia" w:eastAsiaTheme="minorEastAsia" w:cstheme="minorEastAsia"/>
                <w:color w:val="auto"/>
                <w:sz w:val="22"/>
                <w:szCs w:val="22"/>
                <w:highlight w:val="none"/>
                <w:lang w:eastAsia="zh-CN"/>
              </w:rPr>
              <w:t>（</w:t>
            </w:r>
            <w:r>
              <w:rPr>
                <w:rFonts w:hint="eastAsia" w:asciiTheme="minorEastAsia" w:hAnsiTheme="minorEastAsia" w:eastAsiaTheme="minorEastAsia" w:cstheme="minorEastAsia"/>
                <w:color w:val="auto"/>
                <w:sz w:val="22"/>
                <w:szCs w:val="22"/>
                <w:highlight w:val="none"/>
              </w:rPr>
              <w:t>元</w:t>
            </w:r>
            <w:r>
              <w:rPr>
                <w:rFonts w:hint="eastAsia" w:asciiTheme="minorEastAsia" w:hAnsiTheme="minorEastAsia" w:eastAsiaTheme="minorEastAsia" w:cstheme="minorEastAsia"/>
                <w:color w:val="auto"/>
                <w:sz w:val="22"/>
                <w:szCs w:val="22"/>
                <w:highlight w:val="none"/>
                <w:lang w:eastAsia="zh-CN"/>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rPr>
              <w:t>1</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试剂1</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A</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48人份/盒</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25.00</w:t>
            </w:r>
          </w:p>
        </w:tc>
        <w:tc>
          <w:tcPr>
            <w:tcW w:w="1211" w:type="dxa"/>
            <w:vMerge w:val="restart"/>
            <w:tcBorders>
              <w:top w:val="single" w:color="auto" w:sz="4" w:space="0"/>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1000</w:t>
            </w:r>
          </w:p>
        </w:tc>
        <w:tc>
          <w:tcPr>
            <w:tcW w:w="1319" w:type="dxa"/>
            <w:vMerge w:val="restart"/>
            <w:tcBorders>
              <w:top w:val="single" w:color="auto" w:sz="4" w:space="0"/>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17666.67</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7"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2</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试剂2</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B</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96人份/盒</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10.00</w:t>
            </w:r>
          </w:p>
        </w:tc>
        <w:tc>
          <w:tcPr>
            <w:tcW w:w="1211" w:type="dxa"/>
            <w:vMerge w:val="continue"/>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1319" w:type="dxa"/>
            <w:vMerge w:val="continue"/>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3</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试剂3</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C</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500ML</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18.00</w:t>
            </w:r>
          </w:p>
        </w:tc>
        <w:tc>
          <w:tcPr>
            <w:tcW w:w="1211" w:type="dxa"/>
            <w:vMerge w:val="continue"/>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1319" w:type="dxa"/>
            <w:vMerge w:val="continue"/>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9368"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17.67</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bCs/>
                <w:color w:val="auto"/>
                <w:kern w:val="2"/>
                <w:sz w:val="22"/>
                <w:szCs w:val="22"/>
                <w:highlight w:val="none"/>
                <w:lang w:val="en-US" w:eastAsia="zh-CN" w:bidi="ar-SA"/>
              </w:rPr>
            </w:pPr>
          </w:p>
        </w:tc>
        <w:tc>
          <w:tcPr>
            <w:tcW w:w="1319" w:type="dxa"/>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4209"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bCs/>
                <w:color w:val="auto"/>
                <w:kern w:val="2"/>
                <w:sz w:val="22"/>
                <w:szCs w:val="22"/>
                <w:highlight w:val="none"/>
                <w:lang w:val="en-US" w:eastAsia="zh-CN" w:bidi="ar-SA"/>
              </w:rPr>
              <w:t>其他配套产品明细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rPr>
              <w:t>1</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其他1</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个</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5.00</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319" w:type="dxa"/>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2</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其他2</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A</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2ML</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个</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10.00</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319" w:type="dxa"/>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sz w:val="22"/>
                <w:szCs w:val="22"/>
                <w:highlight w:val="none"/>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19" w:type="dxa"/>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bl>
    <w:p>
      <w:pPr>
        <w:ind w:firstLine="10963" w:firstLineChars="5200"/>
        <w:rPr>
          <w:b/>
          <w:bCs/>
          <w:highlight w:val="none"/>
        </w:rPr>
      </w:pPr>
      <w:r>
        <w:rPr>
          <w:b/>
          <w:bCs/>
          <w:highlight w:val="none"/>
        </w:rPr>
        <w:t>纸面不敷时，可以另加页</w:t>
      </w:r>
    </w:p>
    <w:p>
      <w:pPr>
        <w:spacing w:beforeLines="0" w:afterLines="0"/>
        <w:ind w:firstLine="420" w:firstLineChars="200"/>
        <w:rPr>
          <w:rFonts w:hint="eastAsia" w:ascii="黑体" w:hAnsi="黑体" w:eastAsia="黑体" w:cs="黑体"/>
          <w:b w:val="0"/>
          <w:bCs w:val="0"/>
          <w:color w:val="auto"/>
          <w:sz w:val="21"/>
          <w:szCs w:val="32"/>
          <w:highlight w:val="none"/>
          <w:lang w:eastAsia="zh-CN"/>
        </w:rPr>
      </w:pPr>
      <w:r>
        <w:rPr>
          <w:rFonts w:hint="eastAsia" w:ascii="黑体" w:hAnsi="黑体" w:eastAsia="黑体" w:cs="黑体"/>
          <w:b w:val="0"/>
          <w:bCs w:val="0"/>
          <w:color w:val="auto"/>
          <w:sz w:val="21"/>
          <w:szCs w:val="32"/>
          <w:highlight w:val="none"/>
          <w:lang w:eastAsia="zh-CN"/>
        </w:rPr>
        <w:t>以上为示例，各投标人按要求填报，注意事项如下：</w:t>
      </w:r>
    </w:p>
    <w:p>
      <w:pPr>
        <w:spacing w:beforeLines="0" w:afterLines="0"/>
        <w:ind w:firstLine="420" w:firstLineChars="200"/>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rPr>
        <w:t>1</w:t>
      </w:r>
      <w:r>
        <w:rPr>
          <w:rFonts w:hint="eastAsia" w:ascii="黑体" w:hAnsi="黑体" w:eastAsia="黑体" w:cs="黑体"/>
          <w:b w:val="0"/>
          <w:bCs w:val="0"/>
          <w:color w:val="auto"/>
          <w:sz w:val="21"/>
          <w:szCs w:val="32"/>
          <w:highlight w:val="none"/>
          <w:lang w:val="en-US" w:eastAsia="zh-CN"/>
        </w:rPr>
        <w:t>.按</w:t>
      </w:r>
      <w:r>
        <w:rPr>
          <w:rFonts w:hint="eastAsia" w:ascii="黑体" w:hAnsi="黑体" w:eastAsia="黑体" w:cs="黑体"/>
          <w:b w:val="0"/>
          <w:bCs w:val="0"/>
          <w:color w:val="auto"/>
          <w:sz w:val="21"/>
          <w:szCs w:val="32"/>
          <w:highlight w:val="none"/>
        </w:rPr>
        <w:t>需求表内容</w:t>
      </w:r>
      <w:r>
        <w:rPr>
          <w:rFonts w:hint="eastAsia" w:ascii="黑体" w:hAnsi="黑体" w:eastAsia="黑体" w:cs="黑体"/>
          <w:b w:val="0"/>
          <w:bCs w:val="0"/>
          <w:color w:val="auto"/>
          <w:sz w:val="21"/>
          <w:szCs w:val="32"/>
          <w:highlight w:val="none"/>
          <w:lang w:eastAsia="zh-CN"/>
        </w:rPr>
        <w:t>对所配套试剂全部规格型号进行详细填报</w:t>
      </w:r>
      <w:r>
        <w:rPr>
          <w:rFonts w:hint="eastAsia" w:ascii="黑体" w:hAnsi="黑体" w:eastAsia="黑体" w:cs="黑体"/>
          <w:b w:val="0"/>
          <w:bCs w:val="0"/>
          <w:color w:val="auto"/>
          <w:sz w:val="21"/>
          <w:szCs w:val="32"/>
          <w:highlight w:val="none"/>
        </w:rPr>
        <w:t>，</w:t>
      </w:r>
      <w:r>
        <w:rPr>
          <w:rFonts w:hint="eastAsia" w:ascii="黑体" w:hAnsi="黑体" w:eastAsia="黑体" w:cs="黑体"/>
          <w:b w:val="0"/>
          <w:bCs w:val="0"/>
          <w:color w:val="auto"/>
          <w:sz w:val="21"/>
          <w:szCs w:val="32"/>
          <w:highlight w:val="none"/>
          <w:lang w:eastAsia="zh-CN"/>
        </w:rPr>
        <w:t>填报内容</w:t>
      </w:r>
      <w:r>
        <w:rPr>
          <w:rFonts w:hint="eastAsia" w:ascii="黑体" w:hAnsi="黑体" w:eastAsia="黑体" w:cs="黑体"/>
          <w:b w:val="0"/>
          <w:bCs w:val="0"/>
          <w:color w:val="auto"/>
          <w:sz w:val="21"/>
          <w:szCs w:val="32"/>
          <w:highlight w:val="none"/>
        </w:rPr>
        <w:t>不得缺项或者多项，不得使用已经停产产品进行报价，否则</w:t>
      </w:r>
      <w:r>
        <w:rPr>
          <w:rFonts w:hint="eastAsia" w:ascii="黑体" w:hAnsi="黑体" w:eastAsia="黑体" w:cs="黑体"/>
          <w:b w:val="0"/>
          <w:bCs w:val="0"/>
          <w:color w:val="auto"/>
          <w:sz w:val="21"/>
          <w:szCs w:val="32"/>
          <w:highlight w:val="none"/>
          <w:lang w:eastAsia="zh-CN"/>
        </w:rPr>
        <w:t>报价无效</w:t>
      </w:r>
      <w:r>
        <w:rPr>
          <w:rFonts w:hint="eastAsia" w:ascii="黑体" w:hAnsi="黑体" w:eastAsia="黑体" w:cs="黑体"/>
          <w:b w:val="0"/>
          <w:bCs w:val="0"/>
          <w:color w:val="auto"/>
          <w:sz w:val="21"/>
          <w:szCs w:val="32"/>
          <w:highlight w:val="none"/>
        </w:rPr>
        <w:t>。</w:t>
      </w:r>
    </w:p>
    <w:p>
      <w:pPr>
        <w:keepNext w:val="0"/>
        <w:keepLines w:val="0"/>
        <w:pageBreakBefore w:val="0"/>
        <w:widowControl w:val="0"/>
        <w:kinsoku/>
        <w:wordWrap/>
        <w:overflowPunct/>
        <w:topLinePunct w:val="0"/>
        <w:bidi w:val="0"/>
        <w:snapToGrid/>
        <w:spacing w:beforeLines="0" w:afterLines="0" w:line="240" w:lineRule="exact"/>
        <w:ind w:firstLine="420" w:firstLineChars="200"/>
        <w:textAlignment w:val="auto"/>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rPr>
        <w:t>2</w:t>
      </w:r>
      <w:r>
        <w:rPr>
          <w:rFonts w:hint="eastAsia" w:ascii="黑体" w:hAnsi="黑体" w:eastAsia="黑体" w:cs="黑体"/>
          <w:b w:val="0"/>
          <w:bCs w:val="0"/>
          <w:color w:val="auto"/>
          <w:sz w:val="21"/>
          <w:szCs w:val="32"/>
          <w:highlight w:val="none"/>
          <w:lang w:val="en-US" w:eastAsia="zh-CN"/>
        </w:rPr>
        <w:t>.试剂</w:t>
      </w:r>
      <w:r>
        <w:rPr>
          <w:rFonts w:hint="eastAsia" w:ascii="黑体" w:hAnsi="黑体" w:eastAsia="黑体" w:cs="黑体"/>
          <w:b w:val="0"/>
          <w:bCs w:val="0"/>
          <w:color w:val="auto"/>
          <w:sz w:val="21"/>
          <w:szCs w:val="32"/>
          <w:highlight w:val="none"/>
        </w:rPr>
        <w:t>所有</w:t>
      </w:r>
      <w:r>
        <w:rPr>
          <w:rFonts w:hint="eastAsia" w:ascii="黑体" w:hAnsi="黑体" w:eastAsia="黑体" w:cs="黑体"/>
          <w:b w:val="0"/>
          <w:bCs w:val="0"/>
          <w:color w:val="auto"/>
          <w:sz w:val="21"/>
          <w:szCs w:val="32"/>
          <w:highlight w:val="none"/>
          <w:lang w:eastAsia="zh-CN"/>
        </w:rPr>
        <w:t>单项</w:t>
      </w:r>
      <w:r>
        <w:rPr>
          <w:rFonts w:hint="eastAsia" w:ascii="黑体" w:hAnsi="黑体" w:eastAsia="黑体" w:cs="黑体"/>
          <w:b w:val="0"/>
          <w:bCs w:val="0"/>
          <w:color w:val="auto"/>
          <w:sz w:val="21"/>
          <w:szCs w:val="32"/>
          <w:highlight w:val="none"/>
        </w:rPr>
        <w:t>报价将作为后</w:t>
      </w:r>
      <w:r>
        <w:rPr>
          <w:rFonts w:hint="eastAsia" w:ascii="黑体" w:hAnsi="黑体" w:eastAsia="黑体" w:cs="黑体"/>
          <w:b w:val="0"/>
          <w:bCs w:val="0"/>
          <w:color w:val="auto"/>
          <w:sz w:val="21"/>
          <w:szCs w:val="32"/>
          <w:highlight w:val="none"/>
          <w:lang w:eastAsia="zh-CN"/>
        </w:rPr>
        <w:t>期</w:t>
      </w:r>
      <w:r>
        <w:rPr>
          <w:rFonts w:hint="eastAsia" w:ascii="黑体" w:hAnsi="黑体" w:eastAsia="黑体" w:cs="黑体"/>
          <w:b w:val="0"/>
          <w:bCs w:val="0"/>
          <w:color w:val="auto"/>
          <w:sz w:val="21"/>
          <w:szCs w:val="32"/>
          <w:highlight w:val="none"/>
        </w:rPr>
        <w:t>引进时最高限价</w:t>
      </w:r>
      <w:r>
        <w:rPr>
          <w:rFonts w:hint="eastAsia" w:ascii="黑体" w:hAnsi="黑体" w:eastAsia="黑体" w:cs="黑体"/>
          <w:b w:val="0"/>
          <w:bCs w:val="0"/>
          <w:color w:val="auto"/>
          <w:sz w:val="21"/>
          <w:szCs w:val="32"/>
          <w:highlight w:val="none"/>
          <w:lang w:eastAsia="zh-CN"/>
        </w:rPr>
        <w:t>，试剂</w:t>
      </w:r>
      <w:r>
        <w:rPr>
          <w:rFonts w:hint="eastAsia" w:ascii="黑体" w:hAnsi="黑体" w:eastAsia="黑体" w:cs="黑体"/>
          <w:b w:val="0"/>
          <w:bCs w:val="0"/>
          <w:color w:val="auto"/>
          <w:sz w:val="20"/>
          <w:szCs w:val="20"/>
          <w:highlight w:val="none"/>
          <w:lang w:eastAsia="zh-CN"/>
        </w:rPr>
        <w:t>为解放军总医院目录内产品，须一同报价，并按照就低原则同步调价。</w:t>
      </w:r>
    </w:p>
    <w:p>
      <w:pPr>
        <w:keepNext w:val="0"/>
        <w:keepLines w:val="0"/>
        <w:pageBreakBefore w:val="0"/>
        <w:widowControl w:val="0"/>
        <w:kinsoku/>
        <w:wordWrap/>
        <w:overflowPunct/>
        <w:topLinePunct w:val="0"/>
        <w:bidi w:val="0"/>
        <w:snapToGrid/>
        <w:spacing w:beforeLines="0" w:afterLines="0" w:line="240" w:lineRule="exact"/>
        <w:ind w:firstLine="42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1"/>
          <w:szCs w:val="32"/>
          <w:highlight w:val="none"/>
          <w:lang w:val="en-US" w:eastAsia="zh-CN"/>
        </w:rPr>
        <w:t>3</w:t>
      </w:r>
      <w:r>
        <w:rPr>
          <w:rFonts w:hint="eastAsia" w:ascii="黑体" w:hAnsi="黑体" w:eastAsia="黑体" w:cs="黑体"/>
          <w:b w:val="0"/>
          <w:bCs w:val="0"/>
          <w:color w:val="auto"/>
          <w:sz w:val="21"/>
          <w:szCs w:val="32"/>
          <w:highlight w:val="none"/>
          <w:lang w:eastAsia="zh-CN"/>
        </w:rPr>
        <w:t>.主试剂</w:t>
      </w:r>
      <w:r>
        <w:rPr>
          <w:rFonts w:hint="eastAsia" w:ascii="黑体" w:hAnsi="黑体" w:eastAsia="黑体" w:cs="黑体"/>
          <w:b w:val="0"/>
          <w:bCs w:val="0"/>
          <w:color w:val="auto"/>
          <w:sz w:val="21"/>
          <w:szCs w:val="32"/>
          <w:highlight w:val="none"/>
        </w:rPr>
        <w:t>存在多个规格</w:t>
      </w:r>
      <w:r>
        <w:rPr>
          <w:rFonts w:hint="eastAsia" w:ascii="黑体" w:hAnsi="黑体" w:eastAsia="黑体" w:cs="黑体"/>
          <w:b w:val="0"/>
          <w:bCs w:val="0"/>
          <w:color w:val="auto"/>
          <w:sz w:val="21"/>
          <w:szCs w:val="32"/>
          <w:highlight w:val="none"/>
          <w:lang w:eastAsia="zh-CN"/>
        </w:rPr>
        <w:t>型号</w:t>
      </w:r>
      <w:r>
        <w:rPr>
          <w:rFonts w:hint="eastAsia" w:ascii="黑体" w:hAnsi="黑体" w:eastAsia="黑体" w:cs="黑体"/>
          <w:b w:val="0"/>
          <w:bCs w:val="0"/>
          <w:color w:val="auto"/>
          <w:sz w:val="21"/>
          <w:szCs w:val="32"/>
          <w:highlight w:val="none"/>
        </w:rPr>
        <w:t>且价格不同，</w:t>
      </w:r>
      <w:r>
        <w:rPr>
          <w:rFonts w:hint="eastAsia" w:ascii="黑体" w:hAnsi="黑体" w:eastAsia="黑体" w:cs="黑体"/>
          <w:b w:val="0"/>
          <w:bCs w:val="0"/>
          <w:color w:val="auto"/>
          <w:sz w:val="20"/>
          <w:szCs w:val="20"/>
          <w:highlight w:val="none"/>
          <w:lang w:eastAsia="zh-CN"/>
        </w:rPr>
        <w:t>“∑单价（平均价）×用量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spacing w:beforeLines="0" w:afterLines="0"/>
        <w:ind w:firstLine="420" w:firstLineChars="200"/>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lang w:val="en-US" w:eastAsia="zh-CN"/>
        </w:rPr>
        <w:t>4.主要</w:t>
      </w:r>
      <w:r>
        <w:rPr>
          <w:rFonts w:hint="eastAsia" w:ascii="黑体" w:hAnsi="黑体" w:eastAsia="黑体" w:cs="黑体"/>
          <w:b w:val="0"/>
          <w:bCs w:val="0"/>
          <w:color w:val="auto"/>
          <w:sz w:val="21"/>
          <w:szCs w:val="32"/>
          <w:highlight w:val="none"/>
          <w:lang w:eastAsia="zh-CN"/>
        </w:rPr>
        <w:t>试剂</w:t>
      </w:r>
      <w:r>
        <w:rPr>
          <w:rFonts w:hint="eastAsia" w:ascii="黑体" w:hAnsi="黑体" w:eastAsia="黑体" w:cs="黑体"/>
          <w:b w:val="0"/>
          <w:bCs w:val="0"/>
          <w:color w:val="auto"/>
          <w:sz w:val="21"/>
          <w:szCs w:val="32"/>
          <w:highlight w:val="none"/>
        </w:rPr>
        <w:t>报价不计入中标总价中，</w:t>
      </w:r>
      <w:r>
        <w:rPr>
          <w:rFonts w:hint="eastAsia" w:ascii="黑体" w:hAnsi="黑体" w:eastAsia="黑体" w:cs="黑体"/>
          <w:b w:val="0"/>
          <w:bCs w:val="0"/>
          <w:color w:val="auto"/>
          <w:sz w:val="21"/>
          <w:szCs w:val="32"/>
          <w:highlight w:val="none"/>
          <w:lang w:eastAsia="zh-CN"/>
        </w:rPr>
        <w:t>但</w:t>
      </w:r>
      <w:r>
        <w:rPr>
          <w:rFonts w:hint="eastAsia" w:ascii="黑体" w:hAnsi="黑体" w:eastAsia="黑体" w:cs="黑体"/>
          <w:b w:val="0"/>
          <w:bCs w:val="0"/>
          <w:color w:val="auto"/>
          <w:sz w:val="21"/>
          <w:szCs w:val="32"/>
          <w:highlight w:val="none"/>
        </w:rPr>
        <w:t>作为</w:t>
      </w:r>
      <w:r>
        <w:rPr>
          <w:rFonts w:hint="eastAsia" w:ascii="黑体" w:hAnsi="黑体" w:eastAsia="黑体" w:cs="黑体"/>
          <w:b w:val="0"/>
          <w:bCs w:val="0"/>
          <w:color w:val="auto"/>
          <w:sz w:val="21"/>
          <w:szCs w:val="32"/>
          <w:highlight w:val="none"/>
          <w:lang w:eastAsia="zh-CN"/>
        </w:rPr>
        <w:t>本次</w:t>
      </w:r>
      <w:r>
        <w:rPr>
          <w:rFonts w:hint="eastAsia" w:ascii="黑体" w:hAnsi="黑体" w:eastAsia="黑体" w:cs="黑体"/>
          <w:b w:val="0"/>
          <w:bCs w:val="0"/>
          <w:color w:val="auto"/>
          <w:sz w:val="21"/>
          <w:szCs w:val="32"/>
          <w:highlight w:val="none"/>
        </w:rPr>
        <w:t>价格评审重要依据。</w:t>
      </w:r>
    </w:p>
    <w:p>
      <w:pPr>
        <w:pStyle w:val="49"/>
        <w:numPr>
          <w:ilvl w:val="0"/>
          <w:numId w:val="0"/>
        </w:numPr>
        <w:ind w:firstLine="420" w:firstLineChars="200"/>
        <w:jc w:val="both"/>
        <w:rPr>
          <w:rFonts w:hint="eastAsia" w:ascii="黑体" w:hAnsi="黑体" w:eastAsia="黑体" w:cs="黑体"/>
          <w:b w:val="0"/>
          <w:bCs w:val="0"/>
          <w:color w:val="auto"/>
          <w:kern w:val="2"/>
          <w:sz w:val="21"/>
          <w:szCs w:val="32"/>
          <w:highlight w:val="none"/>
          <w:lang w:val="en-US" w:eastAsia="zh-CN" w:bidi="ar-SA"/>
        </w:rPr>
      </w:pPr>
      <w:r>
        <w:rPr>
          <w:rFonts w:hint="eastAsia" w:hAnsi="黑体" w:cs="黑体"/>
          <w:b w:val="0"/>
          <w:bCs w:val="0"/>
          <w:color w:val="auto"/>
          <w:kern w:val="2"/>
          <w:sz w:val="21"/>
          <w:szCs w:val="32"/>
          <w:highlight w:val="none"/>
          <w:lang w:val="en-US" w:eastAsia="zh-CN" w:bidi="ar-SA"/>
        </w:rPr>
        <w:t>5</w:t>
      </w:r>
      <w:r>
        <w:rPr>
          <w:rFonts w:hint="eastAsia" w:ascii="黑体" w:hAnsi="黑体" w:eastAsia="黑体" w:cs="黑体"/>
          <w:b w:val="0"/>
          <w:bCs w:val="0"/>
          <w:color w:val="auto"/>
          <w:kern w:val="2"/>
          <w:sz w:val="21"/>
          <w:szCs w:val="32"/>
          <w:highlight w:val="none"/>
          <w:lang w:val="en-US" w:eastAsia="zh-CN" w:bidi="ar-SA"/>
        </w:rPr>
        <w:t>.所投产品提供的</w:t>
      </w:r>
      <w:r>
        <w:rPr>
          <w:rFonts w:hint="eastAsia" w:hAnsi="黑体" w:cs="黑体"/>
          <w:b w:val="0"/>
          <w:bCs w:val="0"/>
          <w:color w:val="auto"/>
          <w:kern w:val="2"/>
          <w:sz w:val="21"/>
          <w:szCs w:val="32"/>
          <w:highlight w:val="none"/>
          <w:lang w:val="en-US" w:eastAsia="zh-CN" w:bidi="ar-SA"/>
        </w:rPr>
        <w:t>试剂</w:t>
      </w:r>
      <w:r>
        <w:rPr>
          <w:rFonts w:hint="eastAsia" w:ascii="黑体" w:hAnsi="黑体" w:eastAsia="黑体" w:cs="黑体"/>
          <w:b w:val="0"/>
          <w:bCs w:val="0"/>
          <w:color w:val="auto"/>
          <w:kern w:val="2"/>
          <w:sz w:val="21"/>
          <w:szCs w:val="32"/>
          <w:highlight w:val="none"/>
          <w:lang w:val="en-US" w:eastAsia="zh-CN" w:bidi="ar-SA"/>
        </w:rPr>
        <w:t>按医疗器械管理的，须提供相应的医疗器械注册证或备案凭证</w:t>
      </w:r>
      <w:r>
        <w:rPr>
          <w:rFonts w:hint="eastAsia" w:hAnsi="黑体" w:cs="黑体"/>
          <w:b w:val="0"/>
          <w:bCs w:val="0"/>
          <w:color w:val="auto"/>
          <w:kern w:val="2"/>
          <w:sz w:val="21"/>
          <w:szCs w:val="32"/>
          <w:highlight w:val="none"/>
          <w:lang w:val="en-US" w:eastAsia="zh-CN" w:bidi="ar-SA"/>
        </w:rPr>
        <w:t>复印件</w:t>
      </w:r>
      <w:r>
        <w:rPr>
          <w:rFonts w:hint="eastAsia" w:ascii="黑体" w:hAnsi="黑体" w:eastAsia="黑体" w:cs="黑体"/>
          <w:b w:val="0"/>
          <w:bCs w:val="0"/>
          <w:color w:val="auto"/>
          <w:kern w:val="2"/>
          <w:sz w:val="21"/>
          <w:szCs w:val="32"/>
          <w:highlight w:val="none"/>
          <w:lang w:val="en-US" w:eastAsia="zh-CN" w:bidi="ar-SA"/>
        </w:rPr>
        <w:t>。</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default" w:ascii="黑体" w:hAnsi="黑体" w:eastAsia="黑体" w:cs="黑体"/>
          <w:b w:val="0"/>
          <w:bCs w:val="0"/>
          <w:color w:val="auto"/>
          <w:kern w:val="2"/>
          <w:sz w:val="20"/>
          <w:szCs w:val="20"/>
          <w:highlight w:val="none"/>
          <w:lang w:val="en-US" w:eastAsia="zh-CN" w:bidi="ar-SA"/>
        </w:rPr>
      </w:pPr>
      <w:r>
        <w:rPr>
          <w:rFonts w:hint="eastAsia" w:hAnsi="黑体" w:cs="黑体"/>
          <w:b w:val="0"/>
          <w:bCs w:val="0"/>
          <w:color w:val="auto"/>
          <w:kern w:val="2"/>
          <w:sz w:val="20"/>
          <w:szCs w:val="20"/>
          <w:highlight w:val="none"/>
          <w:lang w:val="en-US" w:eastAsia="zh-CN" w:bidi="ar-SA"/>
        </w:rPr>
        <w:t>6.未按要求填报或未签字盖章不得分。</w:t>
      </w:r>
    </w:p>
    <w:p>
      <w:pPr>
        <w:pStyle w:val="49"/>
        <w:numPr>
          <w:ilvl w:val="0"/>
          <w:numId w:val="0"/>
        </w:numPr>
        <w:ind w:firstLine="422" w:firstLineChars="200"/>
        <w:jc w:val="both"/>
        <w:rPr>
          <w:rFonts w:hint="eastAsia" w:ascii="仿宋_GB2312" w:hAnsi="仿宋_GB2312" w:eastAsia="仿宋_GB2312" w:cs="Times New Roman"/>
          <w:b/>
          <w:bCs/>
          <w:color w:val="auto"/>
          <w:kern w:val="2"/>
          <w:sz w:val="21"/>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法定代表人</w:t>
      </w:r>
      <w:r>
        <w:rPr>
          <w:rFonts w:hint="eastAsia" w:ascii="宋体" w:hAnsi="宋体" w:cs="宋体"/>
          <w:sz w:val="28"/>
          <w:szCs w:val="28"/>
          <w:highlight w:val="none"/>
          <w:lang w:val="en-US" w:eastAsia="zh-CN"/>
        </w:rPr>
        <w:t>(或授权代表）</w:t>
      </w:r>
      <w:r>
        <w:rPr>
          <w:rFonts w:hint="eastAsia" w:ascii="宋体" w:hAnsi="宋体" w:cs="宋体"/>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spacing w:beforeLines="0" w:after="240" w:afterLines="100"/>
        <w:jc w:val="both"/>
        <w:rPr>
          <w:rFonts w:hint="eastAsia"/>
          <w:highlight w:val="none"/>
          <w:lang w:eastAsia="zh-CN"/>
        </w:rPr>
        <w:sectPr>
          <w:pgSz w:w="16838" w:h="11906" w:orient="landscape"/>
          <w:pgMar w:top="1417" w:right="1417" w:bottom="1134" w:left="1417" w:header="851" w:footer="454" w:gutter="0"/>
          <w:pgNumType w:fmt="decimal"/>
          <w:cols w:space="0" w:num="1"/>
          <w:docGrid w:linePitch="312" w:charSpace="0"/>
        </w:sectPr>
      </w:pPr>
      <w:r>
        <w:rPr>
          <w:rFonts w:hint="eastAsia"/>
          <w:highlight w:val="none"/>
        </w:rPr>
        <w:t>备注：</w:t>
      </w:r>
      <w:r>
        <w:rPr>
          <w:rFonts w:hint="eastAsia"/>
          <w:highlight w:val="none"/>
          <w:lang w:eastAsia="zh-CN"/>
        </w:rPr>
        <w:t>生产</w:t>
      </w:r>
      <w:r>
        <w:rPr>
          <w:rFonts w:hint="eastAsia"/>
          <w:highlight w:val="none"/>
        </w:rPr>
        <w:t>厂家</w:t>
      </w:r>
      <w:r>
        <w:rPr>
          <w:rFonts w:hint="eastAsia"/>
          <w:highlight w:val="none"/>
          <w:lang w:eastAsia="zh-CN"/>
        </w:rPr>
        <w:t>是</w:t>
      </w:r>
      <w:r>
        <w:rPr>
          <w:rFonts w:hint="eastAsia"/>
          <w:highlight w:val="none"/>
        </w:rPr>
        <w:t>《医疗器械注册证》</w:t>
      </w:r>
      <w:r>
        <w:rPr>
          <w:rFonts w:hint="eastAsia"/>
          <w:highlight w:val="none"/>
          <w:lang w:eastAsia="zh-CN"/>
        </w:rPr>
        <w:t>或备案证</w:t>
      </w:r>
      <w:r>
        <w:rPr>
          <w:rFonts w:hint="eastAsia"/>
          <w:highlight w:val="none"/>
        </w:rPr>
        <w:t>上指定的</w:t>
      </w:r>
      <w:r>
        <w:rPr>
          <w:rFonts w:hint="eastAsia"/>
          <w:highlight w:val="none"/>
          <w:lang w:eastAsia="zh-CN"/>
        </w:rPr>
        <w:t>注册</w:t>
      </w:r>
      <w:r>
        <w:rPr>
          <w:rFonts w:hint="eastAsia"/>
          <w:highlight w:val="none"/>
        </w:rPr>
        <w:t>人</w:t>
      </w:r>
      <w:r>
        <w:rPr>
          <w:rFonts w:hint="eastAsia"/>
          <w:highlight w:val="none"/>
          <w:lang w:eastAsia="zh-CN"/>
        </w:rPr>
        <w:t>或代理人名称。</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9" w:type="default"/>
          <w:footerReference r:id="rId20"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ZKa2DzAEAAHoDAAAOAAAAAAAAAAEAIAAAAB4BAABkcnMvZTJv&#10;RG9jLnhtbFBLBQYAAAAABgAGAFkBAABcBQ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abstractNum w:abstractNumId="2">
    <w:nsid w:val="50F5D31E"/>
    <w:multiLevelType w:val="singleLevel"/>
    <w:tmpl w:val="50F5D31E"/>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35850"/>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290549"/>
    <w:rsid w:val="0233386D"/>
    <w:rsid w:val="02634255"/>
    <w:rsid w:val="02886218"/>
    <w:rsid w:val="02942E4F"/>
    <w:rsid w:val="02D97108"/>
    <w:rsid w:val="03341722"/>
    <w:rsid w:val="038E4979"/>
    <w:rsid w:val="039A4DF7"/>
    <w:rsid w:val="03D219A8"/>
    <w:rsid w:val="04504BAA"/>
    <w:rsid w:val="046E1FF1"/>
    <w:rsid w:val="04A465CA"/>
    <w:rsid w:val="04A83D5C"/>
    <w:rsid w:val="04AB3E06"/>
    <w:rsid w:val="04D2457A"/>
    <w:rsid w:val="0529159F"/>
    <w:rsid w:val="052971A9"/>
    <w:rsid w:val="056D53F7"/>
    <w:rsid w:val="057F696D"/>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821557F"/>
    <w:rsid w:val="093E2FA0"/>
    <w:rsid w:val="09673E3C"/>
    <w:rsid w:val="0A7A0DEE"/>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B94C51"/>
    <w:rsid w:val="0ED14AB9"/>
    <w:rsid w:val="0EE76E01"/>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BF73EA"/>
    <w:rsid w:val="14DC364E"/>
    <w:rsid w:val="152534E9"/>
    <w:rsid w:val="15722832"/>
    <w:rsid w:val="16980C4D"/>
    <w:rsid w:val="171E7F58"/>
    <w:rsid w:val="17C42F61"/>
    <w:rsid w:val="18433A70"/>
    <w:rsid w:val="18695DE3"/>
    <w:rsid w:val="18FE400A"/>
    <w:rsid w:val="195F062F"/>
    <w:rsid w:val="19865777"/>
    <w:rsid w:val="19876CF8"/>
    <w:rsid w:val="199267D4"/>
    <w:rsid w:val="1A0B7731"/>
    <w:rsid w:val="1A1230F5"/>
    <w:rsid w:val="1A7C33E6"/>
    <w:rsid w:val="1A932AD1"/>
    <w:rsid w:val="1ABF7F3C"/>
    <w:rsid w:val="1ADF74F2"/>
    <w:rsid w:val="1BE11CE9"/>
    <w:rsid w:val="1C2D1651"/>
    <w:rsid w:val="1C6B059D"/>
    <w:rsid w:val="1CB32E02"/>
    <w:rsid w:val="1D0E6F59"/>
    <w:rsid w:val="1DA85478"/>
    <w:rsid w:val="1DD23B6F"/>
    <w:rsid w:val="1DD3548B"/>
    <w:rsid w:val="1DED21D8"/>
    <w:rsid w:val="1E470A31"/>
    <w:rsid w:val="1E7B1372"/>
    <w:rsid w:val="1EAB0E98"/>
    <w:rsid w:val="1F0E3DA5"/>
    <w:rsid w:val="1F1442A1"/>
    <w:rsid w:val="1F7F74E9"/>
    <w:rsid w:val="1FB2006F"/>
    <w:rsid w:val="202F2035"/>
    <w:rsid w:val="20314E96"/>
    <w:rsid w:val="205F5ACC"/>
    <w:rsid w:val="20CE49AC"/>
    <w:rsid w:val="217F21D3"/>
    <w:rsid w:val="2180567D"/>
    <w:rsid w:val="21C61BB0"/>
    <w:rsid w:val="21ED35E0"/>
    <w:rsid w:val="22C35EAF"/>
    <w:rsid w:val="22C80A00"/>
    <w:rsid w:val="22C975B7"/>
    <w:rsid w:val="22DD59F0"/>
    <w:rsid w:val="22F75C0D"/>
    <w:rsid w:val="23064301"/>
    <w:rsid w:val="230C5CE8"/>
    <w:rsid w:val="23384AB3"/>
    <w:rsid w:val="23DB58A8"/>
    <w:rsid w:val="23EC2634"/>
    <w:rsid w:val="23F064FA"/>
    <w:rsid w:val="241053A1"/>
    <w:rsid w:val="2432177F"/>
    <w:rsid w:val="245060A9"/>
    <w:rsid w:val="24C20D54"/>
    <w:rsid w:val="25114177"/>
    <w:rsid w:val="251427D4"/>
    <w:rsid w:val="25C96113"/>
    <w:rsid w:val="25DC4792"/>
    <w:rsid w:val="26097A28"/>
    <w:rsid w:val="26CB345B"/>
    <w:rsid w:val="26CC5F32"/>
    <w:rsid w:val="271D4472"/>
    <w:rsid w:val="271D5F0A"/>
    <w:rsid w:val="27380A52"/>
    <w:rsid w:val="27512060"/>
    <w:rsid w:val="276C144B"/>
    <w:rsid w:val="27E44D0D"/>
    <w:rsid w:val="287D3B77"/>
    <w:rsid w:val="288C0557"/>
    <w:rsid w:val="29084156"/>
    <w:rsid w:val="290F7096"/>
    <w:rsid w:val="29785528"/>
    <w:rsid w:val="29B91980"/>
    <w:rsid w:val="29E123C9"/>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DE60E55"/>
    <w:rsid w:val="2E1B296B"/>
    <w:rsid w:val="2E1E21C3"/>
    <w:rsid w:val="2E262354"/>
    <w:rsid w:val="2E552C39"/>
    <w:rsid w:val="2F5015CC"/>
    <w:rsid w:val="2F716E18"/>
    <w:rsid w:val="2F8301FF"/>
    <w:rsid w:val="300A4285"/>
    <w:rsid w:val="300B11EA"/>
    <w:rsid w:val="307C1216"/>
    <w:rsid w:val="30843362"/>
    <w:rsid w:val="30CA6DC7"/>
    <w:rsid w:val="310060D1"/>
    <w:rsid w:val="325275B6"/>
    <w:rsid w:val="326276D3"/>
    <w:rsid w:val="32701EF4"/>
    <w:rsid w:val="3276624F"/>
    <w:rsid w:val="32B258B7"/>
    <w:rsid w:val="33900F89"/>
    <w:rsid w:val="339A10EE"/>
    <w:rsid w:val="33B757FC"/>
    <w:rsid w:val="33B83430"/>
    <w:rsid w:val="3437693D"/>
    <w:rsid w:val="34F4272D"/>
    <w:rsid w:val="34FA5C45"/>
    <w:rsid w:val="35706796"/>
    <w:rsid w:val="35A55262"/>
    <w:rsid w:val="35C91DF7"/>
    <w:rsid w:val="36623A07"/>
    <w:rsid w:val="368E7B3A"/>
    <w:rsid w:val="3699568D"/>
    <w:rsid w:val="36CA5847"/>
    <w:rsid w:val="37141D64"/>
    <w:rsid w:val="371F2036"/>
    <w:rsid w:val="37602AF2"/>
    <w:rsid w:val="37FA4622"/>
    <w:rsid w:val="3816405B"/>
    <w:rsid w:val="38593F37"/>
    <w:rsid w:val="38A7470F"/>
    <w:rsid w:val="38C26B8B"/>
    <w:rsid w:val="39090717"/>
    <w:rsid w:val="392A3F1E"/>
    <w:rsid w:val="39D90D10"/>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3F0026"/>
    <w:rsid w:val="3DB03FCF"/>
    <w:rsid w:val="3DDE7B5E"/>
    <w:rsid w:val="3DF276BA"/>
    <w:rsid w:val="3DFC38D5"/>
    <w:rsid w:val="3E1E016D"/>
    <w:rsid w:val="3E280DCC"/>
    <w:rsid w:val="3E442382"/>
    <w:rsid w:val="3ED25651"/>
    <w:rsid w:val="3EE746A5"/>
    <w:rsid w:val="3F626CCD"/>
    <w:rsid w:val="3FC312FA"/>
    <w:rsid w:val="3FD97E75"/>
    <w:rsid w:val="402D6024"/>
    <w:rsid w:val="40442077"/>
    <w:rsid w:val="405F5F3D"/>
    <w:rsid w:val="40724C8A"/>
    <w:rsid w:val="40BE1D68"/>
    <w:rsid w:val="41245898"/>
    <w:rsid w:val="417C1216"/>
    <w:rsid w:val="41970A1B"/>
    <w:rsid w:val="419C088D"/>
    <w:rsid w:val="41A5138A"/>
    <w:rsid w:val="41D775CC"/>
    <w:rsid w:val="421C2D0B"/>
    <w:rsid w:val="423B7BF3"/>
    <w:rsid w:val="42564F1D"/>
    <w:rsid w:val="42811435"/>
    <w:rsid w:val="42A17421"/>
    <w:rsid w:val="42A81B49"/>
    <w:rsid w:val="42B25FD5"/>
    <w:rsid w:val="42B86E9B"/>
    <w:rsid w:val="431762B8"/>
    <w:rsid w:val="43521E0D"/>
    <w:rsid w:val="43B241F5"/>
    <w:rsid w:val="4420585E"/>
    <w:rsid w:val="4427077C"/>
    <w:rsid w:val="448252F0"/>
    <w:rsid w:val="450300EA"/>
    <w:rsid w:val="456E13BB"/>
    <w:rsid w:val="464F1B31"/>
    <w:rsid w:val="46B861C6"/>
    <w:rsid w:val="47A65E5C"/>
    <w:rsid w:val="47C00CCC"/>
    <w:rsid w:val="47D66741"/>
    <w:rsid w:val="47F952D8"/>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F216BBF"/>
    <w:rsid w:val="4F9A62A6"/>
    <w:rsid w:val="4FD44A3C"/>
    <w:rsid w:val="50F32112"/>
    <w:rsid w:val="514D61C2"/>
    <w:rsid w:val="518A6447"/>
    <w:rsid w:val="52041C5A"/>
    <w:rsid w:val="52293911"/>
    <w:rsid w:val="522B5E7C"/>
    <w:rsid w:val="523E5075"/>
    <w:rsid w:val="52421257"/>
    <w:rsid w:val="527514EF"/>
    <w:rsid w:val="531558BC"/>
    <w:rsid w:val="53C90724"/>
    <w:rsid w:val="53EB539E"/>
    <w:rsid w:val="5422054D"/>
    <w:rsid w:val="54A320E7"/>
    <w:rsid w:val="54D11CCC"/>
    <w:rsid w:val="550B6A44"/>
    <w:rsid w:val="55120D38"/>
    <w:rsid w:val="55CD509B"/>
    <w:rsid w:val="56014384"/>
    <w:rsid w:val="565B21A0"/>
    <w:rsid w:val="565D126F"/>
    <w:rsid w:val="56710C02"/>
    <w:rsid w:val="568E7108"/>
    <w:rsid w:val="56CE6835"/>
    <w:rsid w:val="572A5C41"/>
    <w:rsid w:val="572B120F"/>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DF327BE"/>
    <w:rsid w:val="5E714676"/>
    <w:rsid w:val="5E9D546B"/>
    <w:rsid w:val="5EAD0BB0"/>
    <w:rsid w:val="5ED209B4"/>
    <w:rsid w:val="5F085751"/>
    <w:rsid w:val="5F690E4C"/>
    <w:rsid w:val="601F69F6"/>
    <w:rsid w:val="60752C67"/>
    <w:rsid w:val="612754C0"/>
    <w:rsid w:val="613A3445"/>
    <w:rsid w:val="616049DB"/>
    <w:rsid w:val="61831D11"/>
    <w:rsid w:val="61C14B50"/>
    <w:rsid w:val="61DC2CD7"/>
    <w:rsid w:val="61FE3C40"/>
    <w:rsid w:val="6235591B"/>
    <w:rsid w:val="62395966"/>
    <w:rsid w:val="62B17737"/>
    <w:rsid w:val="63415520"/>
    <w:rsid w:val="636150A9"/>
    <w:rsid w:val="637D05D7"/>
    <w:rsid w:val="63EE6769"/>
    <w:rsid w:val="640F0BB9"/>
    <w:rsid w:val="646C70CD"/>
    <w:rsid w:val="650F19B1"/>
    <w:rsid w:val="6562503C"/>
    <w:rsid w:val="663B22BC"/>
    <w:rsid w:val="663F7051"/>
    <w:rsid w:val="66A9597C"/>
    <w:rsid w:val="66AB3A44"/>
    <w:rsid w:val="66C876C1"/>
    <w:rsid w:val="670F4827"/>
    <w:rsid w:val="676A4F57"/>
    <w:rsid w:val="67B5251D"/>
    <w:rsid w:val="67C365D4"/>
    <w:rsid w:val="67E548D9"/>
    <w:rsid w:val="67F94588"/>
    <w:rsid w:val="687716F6"/>
    <w:rsid w:val="690D143F"/>
    <w:rsid w:val="69713AF2"/>
    <w:rsid w:val="69F745C9"/>
    <w:rsid w:val="6A0359B4"/>
    <w:rsid w:val="6A114F5F"/>
    <w:rsid w:val="6A65190A"/>
    <w:rsid w:val="6B051551"/>
    <w:rsid w:val="6B25645F"/>
    <w:rsid w:val="6B93063F"/>
    <w:rsid w:val="6BB74E52"/>
    <w:rsid w:val="6BEA3CC1"/>
    <w:rsid w:val="6C040369"/>
    <w:rsid w:val="6C8C6991"/>
    <w:rsid w:val="6CCF512C"/>
    <w:rsid w:val="6D280342"/>
    <w:rsid w:val="6D5C4A78"/>
    <w:rsid w:val="6E65769A"/>
    <w:rsid w:val="6EFA0BA6"/>
    <w:rsid w:val="6F044005"/>
    <w:rsid w:val="6F5C2AB8"/>
    <w:rsid w:val="6FB40D90"/>
    <w:rsid w:val="6FBD0C28"/>
    <w:rsid w:val="6FBD737D"/>
    <w:rsid w:val="70AE3C96"/>
    <w:rsid w:val="70E01533"/>
    <w:rsid w:val="70E114A5"/>
    <w:rsid w:val="71235408"/>
    <w:rsid w:val="714E5FA0"/>
    <w:rsid w:val="71593474"/>
    <w:rsid w:val="72442975"/>
    <w:rsid w:val="72B02765"/>
    <w:rsid w:val="72FD69EC"/>
    <w:rsid w:val="73965D07"/>
    <w:rsid w:val="739E3D02"/>
    <w:rsid w:val="73BD1BDB"/>
    <w:rsid w:val="740551C7"/>
    <w:rsid w:val="74A159DA"/>
    <w:rsid w:val="756E3C30"/>
    <w:rsid w:val="75FF5737"/>
    <w:rsid w:val="76796366"/>
    <w:rsid w:val="769D686B"/>
    <w:rsid w:val="770D5E1C"/>
    <w:rsid w:val="77662A1A"/>
    <w:rsid w:val="78064733"/>
    <w:rsid w:val="781656AF"/>
    <w:rsid w:val="78514A46"/>
    <w:rsid w:val="78892FEC"/>
    <w:rsid w:val="792602AC"/>
    <w:rsid w:val="79905557"/>
    <w:rsid w:val="7A205E68"/>
    <w:rsid w:val="7A3A36CD"/>
    <w:rsid w:val="7A4153ED"/>
    <w:rsid w:val="7ABD27F2"/>
    <w:rsid w:val="7ADE0C6C"/>
    <w:rsid w:val="7B7A36AA"/>
    <w:rsid w:val="7B9E6ACC"/>
    <w:rsid w:val="7BF546E1"/>
    <w:rsid w:val="7C1A6B80"/>
    <w:rsid w:val="7C4D62CB"/>
    <w:rsid w:val="7C5424EB"/>
    <w:rsid w:val="7CB9570E"/>
    <w:rsid w:val="7D136406"/>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65</Pages>
  <Words>21626</Words>
  <Characters>23010</Characters>
  <Lines>339</Lines>
  <Paragraphs>95</Paragraphs>
  <TotalTime>0</TotalTime>
  <ScaleCrop>false</ScaleCrop>
  <LinksUpToDate>false</LinksUpToDate>
  <CharactersWithSpaces>25618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2025-03-26T08:16:05Z</cp:lastPrinted>
  <dcterms:modified xsi:type="dcterms:W3CDTF">2025-03-26T08:17:00Z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