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afterLines="50" w:line="560" w:lineRule="exact"/>
        <w:jc w:val="center"/>
        <w:outlineLvl w:val="0"/>
        <w:rPr>
          <w:b w:val="0"/>
          <w:color w:val="auto"/>
          <w:szCs w:val="44"/>
          <w:lang w:val="zh-CN"/>
        </w:rPr>
      </w:pPr>
      <w:bookmarkStart w:id="0" w:name="_Toc128151025"/>
      <w:bookmarkStart w:id="1" w:name="_Toc5855"/>
      <w:bookmarkStart w:id="2" w:name="_Toc130657990"/>
      <w:bookmarkStart w:id="3" w:name="_Toc130886997"/>
      <w:bookmarkStart w:id="4" w:name="_Toc128150132"/>
      <w:bookmarkStart w:id="5" w:name="_Toc128150776"/>
      <w:bookmarkStart w:id="6" w:name="_Toc112317781"/>
      <w:bookmarkStart w:id="7" w:name="_Toc130657536"/>
      <w:bookmarkStart w:id="8" w:name="_Toc127820562"/>
      <w:bookmarkStart w:id="9" w:name="_Toc130887498"/>
      <w:bookmarkStart w:id="10" w:name="_Toc132190632"/>
      <w:bookmarkStart w:id="11" w:name="_Toc18809"/>
      <w:bookmarkStart w:id="12" w:name="_Toc128397968"/>
      <w:bookmarkStart w:id="13" w:name="_Toc8647"/>
      <w:bookmarkStart w:id="14" w:name="_Toc29228"/>
      <w:bookmarkStart w:id="15" w:name="_Toc12397"/>
      <w:r>
        <w:rPr>
          <w:rFonts w:hint="eastAsia"/>
          <w:b w:val="0"/>
          <w:color w:val="auto"/>
          <w:szCs w:val="44"/>
          <w:lang w:val="zh-CN"/>
        </w:rPr>
        <w:t>第六章</w:t>
      </w:r>
      <w:r>
        <w:rPr>
          <w:rFonts w:hint="eastAsia"/>
          <w:b w:val="0"/>
          <w:color w:val="auto"/>
          <w:szCs w:val="44"/>
          <w:lang w:val="en-US" w:eastAsia="zh-CN"/>
        </w:rPr>
        <w:t xml:space="preserve"> </w:t>
      </w:r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16" w:name="_Toc112681847"/>
      <w:bookmarkStart w:id="17" w:name="_Toc17189"/>
      <w:bookmarkStart w:id="18" w:name="_Toc14060"/>
      <w:bookmarkStart w:id="19" w:name="_Toc25325"/>
      <w:bookmarkStart w:id="20" w:name="_Toc13753"/>
      <w:bookmarkStart w:id="21" w:name="_Toc132191258"/>
      <w:bookmarkStart w:id="22" w:name="_Toc132186974"/>
      <w:bookmarkStart w:id="23" w:name="_Toc22977"/>
      <w:bookmarkStart w:id="24" w:name="_Toc112768493"/>
      <w:bookmarkStart w:id="25" w:name="_Toc32238"/>
      <w:bookmarkStart w:id="26" w:name="_Toc22203"/>
      <w:bookmarkStart w:id="27" w:name="_Toc13168"/>
      <w:bookmarkStart w:id="28" w:name="_Toc21712"/>
      <w:bookmarkStart w:id="29" w:name="_Toc130888006"/>
      <w:bookmarkStart w:id="30" w:name="_Toc128154367"/>
      <w:bookmarkStart w:id="31" w:name="_Toc128470294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  <w:t>（（一）、（二）、（三）、（四）均为实质性响应条款，不接受负偏离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，且须在投标文件的商务技术册中单独附页承诺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  <w:t>）</w:t>
      </w:r>
    </w:p>
    <w:p>
      <w:pPr>
        <w:rPr>
          <w:rFonts w:hint="default"/>
          <w:lang w:val="en-US"/>
        </w:rPr>
      </w:pPr>
      <w:r>
        <w:rPr>
          <w:rFonts w:hint="eastAsia" w:ascii="黑体" w:hAnsi="黑体" w:cs="黑体"/>
          <w:b/>
          <w:bCs/>
          <w:sz w:val="28"/>
          <w:szCs w:val="28"/>
          <w:lang w:eastAsia="zh-CN"/>
        </w:rPr>
        <w:t>（一）经济要求：</w:t>
      </w:r>
    </w:p>
    <w:tbl>
      <w:tblPr>
        <w:tblStyle w:val="6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695"/>
        <w:gridCol w:w="5399"/>
        <w:gridCol w:w="74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8"/>
        <w:spacing w:line="360" w:lineRule="auto"/>
        <w:ind w:firstLine="56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二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）知识产权和保密要求</w:t>
      </w:r>
    </w:p>
    <w:p>
      <w:pPr>
        <w:pStyle w:val="8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投标供应商应当保证采购单位在使用该物资或其任何一部分时，不受第三方侵权指控。同时，投标供应商不得向第三方泄露采购机构提供的技术文件等材料。基于项目合同履行形成的知识产权和其他权益，其权属归采购单位所有，法律另有规定的除外。</w:t>
      </w:r>
    </w:p>
    <w:p>
      <w:pPr>
        <w:pStyle w:val="8"/>
        <w:spacing w:line="360" w:lineRule="auto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要求</w:t>
      </w:r>
    </w:p>
    <w:p>
      <w:pPr>
        <w:pStyle w:val="8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本项目对物资的编目编码、打码贴签要求，投标供应商应当予以明确响应，相关费用包含在报价中。</w:t>
      </w:r>
    </w:p>
    <w:p>
      <w:pPr>
        <w:pStyle w:val="8"/>
        <w:spacing w:line="360" w:lineRule="auto"/>
        <w:ind w:firstLine="56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四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）其他</w:t>
      </w:r>
    </w:p>
    <w:p>
      <w:pPr>
        <w:pStyle w:val="8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中标企业在领取成交通知书前，设备及耗材最终谈判报价按附件1、2、3内容重新组价并签字盖章。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/>
        <w:textAlignment w:val="auto"/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pStyle w:val="4"/>
        <w:numPr>
          <w:ilvl w:val="0"/>
          <w:numId w:val="0"/>
        </w:numPr>
        <w:spacing w:before="0" w:after="0" w:line="560" w:lineRule="exact"/>
        <w:outlineLvl w:val="1"/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  <w:bookmarkStart w:id="32" w:name="_Toc17887"/>
      <w:bookmarkStart w:id="33" w:name="_Toc132190634"/>
      <w:bookmarkStart w:id="34" w:name="_Toc128397970"/>
      <w:bookmarkStart w:id="35" w:name="_Toc128151027"/>
      <w:bookmarkStart w:id="36" w:name="_Toc130887500"/>
      <w:bookmarkStart w:id="37" w:name="_Toc128150134"/>
      <w:bookmarkStart w:id="38" w:name="_Toc127820564"/>
      <w:bookmarkStart w:id="39" w:name="_Toc128150778"/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二、技术要求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>
      <w:pPr>
        <w:pStyle w:val="2"/>
        <w:rPr>
          <w:rFonts w:ascii="宋体" w:hAnsi="宋体"/>
          <w:bCs/>
          <w:snapToGrid w:val="0"/>
          <w:color w:val="auto"/>
          <w:sz w:val="28"/>
          <w:szCs w:val="28"/>
        </w:rPr>
      </w:pPr>
    </w:p>
    <w:tbl>
      <w:tblPr>
        <w:tblStyle w:val="6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6"/>
        <w:gridCol w:w="1016"/>
        <w:gridCol w:w="386"/>
        <w:gridCol w:w="1805"/>
        <w:gridCol w:w="2492"/>
        <w:gridCol w:w="575"/>
        <w:gridCol w:w="167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清创水刀系统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80（1台）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用于伤口清创（急性、慢性伤口和烧伤）以及需要锐器清创或脉冲灌洗的手术部位的清理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采用文丘里水动力技术，利用水的动能对人体组织进行分离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功率调节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控制台≥10个档位可调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喷嘴孔径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喷射流速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≥（80-210）ml/分钟，最大允许误差≤±10%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转速范围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≥（400-1200）r/分钟，最大允许误差≤±100r/分钟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防电击类型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≥I类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同步吸引功能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组织切除与吸引可同步进行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有脚踏连接问题；系统问题、手柄连接问题、超出公差范围压力条件、电源故障等故障具备LED故障报警提示功能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主机1台、脚踏1个、推车1个、一次性手柄≥10个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</w:tbl>
    <w:p>
      <w:pPr>
        <w:pStyle w:val="2"/>
        <w:rPr>
          <w:rFonts w:ascii="宋体" w:hAnsi="宋体"/>
          <w:bCs/>
          <w:snapToGrid w:val="0"/>
          <w:color w:val="auto"/>
          <w:sz w:val="28"/>
          <w:szCs w:val="28"/>
        </w:rPr>
      </w:pPr>
    </w:p>
    <w:p>
      <w:pPr>
        <w:pStyle w:val="2"/>
        <w:rPr>
          <w:rFonts w:ascii="宋体" w:hAnsi="宋体"/>
          <w:bCs/>
          <w:snapToGrid w:val="0"/>
          <w:color w:val="auto"/>
          <w:sz w:val="28"/>
          <w:szCs w:val="28"/>
        </w:rPr>
      </w:pPr>
    </w:p>
    <w:tbl>
      <w:tblPr>
        <w:tblStyle w:val="6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3"/>
        <w:gridCol w:w="1813"/>
        <w:gridCol w:w="930"/>
        <w:gridCol w:w="1119"/>
        <w:gridCol w:w="757"/>
        <w:gridCol w:w="1480"/>
        <w:gridCol w:w="4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清创水刀系统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耗材与设备为同一品牌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45°/14mm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15°/14mm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B9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2025-03-06T00:15:33Z</dcterms:created>
  <dc:creator>DOCTOR</dc:creator>
  <cp:lastModifiedBy>DOCTOR</cp:lastModifiedBy>
  <dcterms:modified xsi:type="dcterms:W3CDTF">2025-03-06T00:15:35Z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