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30657527"/>
      <w:bookmarkStart w:id="1" w:name="_Toc130657981"/>
      <w:bookmarkStart w:id="2" w:name="_Toc128397959"/>
      <w:bookmarkStart w:id="3" w:name="_Toc128151016"/>
      <w:bookmarkStart w:id="4" w:name="_Toc128150123"/>
      <w:bookmarkStart w:id="5" w:name="_Toc127820554"/>
      <w:bookmarkStart w:id="6" w:name="_Toc130886988"/>
      <w:bookmarkStart w:id="7" w:name="_Toc130887489"/>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left="3672" w:leftChars="969" w:hanging="1637" w:firstLineChars="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全自动免疫组化设备</w:t>
      </w:r>
    </w:p>
    <w:p>
      <w:pPr>
        <w:shd w:val="clear"/>
        <w:spacing w:line="560" w:lineRule="exact"/>
        <w:ind w:left="0" w:leftChars="0" w:firstLine="2037" w:firstLineChars="566"/>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w:t>
      </w:r>
      <w:r>
        <w:rPr>
          <w:rFonts w:hint="eastAsia" w:ascii="方正小标宋简体" w:eastAsia="方正小标宋简体"/>
          <w:bCs/>
          <w:sz w:val="36"/>
          <w:szCs w:val="36"/>
          <w:highlight w:val="none"/>
          <w:u w:val="single"/>
          <w:lang w:val="en-US" w:eastAsia="zh-CN"/>
        </w:rPr>
        <w:t>666</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ascii="方正小标宋简体"/>
          <w:bCs w:val="0"/>
          <w:szCs w:val="44"/>
          <w:highlight w:val="none"/>
        </w:rPr>
      </w:pPr>
      <w:r>
        <w:rPr>
          <w:rFonts w:hAnsi="宋体"/>
          <w:sz w:val="32"/>
          <w:highlight w:val="none"/>
        </w:rPr>
        <w:br w:type="page"/>
      </w: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3</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8</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headerReference r:id="rId3"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130661169"/>
      <w:bookmarkStart w:id="17" w:name="_Toc132191250"/>
      <w:bookmarkStart w:id="18" w:name="_Toc27201"/>
      <w:bookmarkStart w:id="19" w:name="_Toc128154359"/>
      <w:bookmarkStart w:id="20" w:name="_Toc128470286"/>
      <w:bookmarkStart w:id="21" w:name="_Toc130887998"/>
      <w:bookmarkStart w:id="22" w:name="_Toc132186966"/>
      <w:bookmarkStart w:id="23" w:name="_Toc30198"/>
      <w:bookmarkStart w:id="24" w:name="_Toc112768490"/>
      <w:bookmarkStart w:id="25" w:name="_Toc15622"/>
      <w:bookmarkStart w:id="26" w:name="_Toc32290"/>
      <w:bookmarkStart w:id="27" w:name="_Toc112317780"/>
      <w:bookmarkStart w:id="28" w:name="_Toc20311"/>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全自动免疫组化设备</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20.5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5</w:t>
            </w:r>
            <w:r>
              <w:rPr>
                <w:rFonts w:hint="eastAsia" w:ascii="宋体" w:hAnsi="宋体" w:cs="宋体"/>
                <w:sz w:val="24"/>
                <w:szCs w:val="24"/>
              </w:rPr>
              <w:t>月</w:t>
            </w:r>
            <w:r>
              <w:rPr>
                <w:rFonts w:hint="eastAsia" w:ascii="宋体" w:hAnsi="宋体" w:cs="宋体"/>
                <w:sz w:val="24"/>
                <w:szCs w:val="24"/>
                <w:u w:val="single"/>
                <w:lang w:val="en-US" w:eastAsia="zh-CN"/>
              </w:rPr>
              <w:t xml:space="preserve"> 10</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4100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肆仟壹佰</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u w:val="single"/>
                <w:lang w:val="en-US" w:eastAsia="zh-CN"/>
              </w:rPr>
              <w:t>5</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13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u w:val="single"/>
                <w:lang w:val="en-US" w:eastAsia="zh-CN"/>
              </w:rPr>
              <w:t>5</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13</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13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hint="eastAsia" w:ascii="Times New Roman" w:hAnsi="Times New Roman" w:eastAsia="宋体" w:cs="Times New Roman"/>
                <w:kern w:val="2"/>
                <w:sz w:val="24"/>
                <w:szCs w:val="24"/>
                <w:highlight w:val="none"/>
              </w:rPr>
            </w:pPr>
            <w:r>
              <w:rPr>
                <w:rFonts w:hint="eastAsia" w:ascii="Times New Roman" w:hAnsi="Times New Roman" w:eastAsia="宋体" w:cs="Times New Roman"/>
                <w:kern w:val="2"/>
                <w:sz w:val="24"/>
                <w:szCs w:val="24"/>
                <w:highlight w:val="none"/>
              </w:rPr>
              <w:t>相同品牌供应商得分或报价相同的规定</w:t>
            </w:r>
          </w:p>
        </w:tc>
        <w:tc>
          <w:tcPr>
            <w:tcW w:w="4350" w:type="dxa"/>
            <w:vAlign w:val="center"/>
          </w:tcPr>
          <w:p>
            <w:pPr>
              <w:adjustRightInd w:val="0"/>
              <w:snapToGrid w:val="0"/>
              <w:spacing w:line="360" w:lineRule="exact"/>
              <w:rPr>
                <w:rFonts w:hint="eastAsia" w:ascii="Times New Roman" w:hAnsi="Times New Roman" w:eastAsia="宋体" w:cs="Times New Roman"/>
                <w:kern w:val="2"/>
                <w:sz w:val="24"/>
                <w:szCs w:val="24"/>
                <w:highlight w:val="none"/>
                <w:lang w:eastAsia="zh-CN"/>
              </w:rPr>
            </w:pPr>
            <w:r>
              <w:rPr>
                <w:rFonts w:hint="eastAsia" w:ascii="Times New Roman" w:hAnsi="Times New Roman" w:eastAsia="宋体" w:cs="Times New Roman"/>
                <w:kern w:val="2"/>
                <w:sz w:val="24"/>
                <w:szCs w:val="24"/>
                <w:highlight w:val="none"/>
              </w:rPr>
              <w:t>不同报价供应商提供相同品牌</w:t>
            </w:r>
            <w:r>
              <w:rPr>
                <w:rFonts w:hint="eastAsia" w:cs="Times New Roman"/>
                <w:kern w:val="2"/>
                <w:sz w:val="24"/>
                <w:szCs w:val="24"/>
                <w:highlight w:val="none"/>
                <w:lang w:val="en-US" w:eastAsia="zh-CN"/>
              </w:rPr>
              <w:t>核心</w:t>
            </w:r>
            <w:r>
              <w:rPr>
                <w:rFonts w:hint="eastAsia" w:ascii="Times New Roman" w:hAnsi="Times New Roman" w:eastAsia="宋体" w:cs="Times New Roman"/>
                <w:kern w:val="2"/>
                <w:sz w:val="24"/>
                <w:szCs w:val="24"/>
                <w:highlight w:val="none"/>
              </w:rPr>
              <w:t>产品的，报价供应商数量按1家报价供应商计算。由得分最高的报价供应商参加后续评审</w:t>
            </w:r>
            <w:r>
              <w:rPr>
                <w:rFonts w:hint="eastAsia" w:ascii="Times New Roman" w:hAnsi="Times New Roman" w:eastAsia="宋体" w:cs="Times New Roman"/>
                <w:kern w:val="2"/>
                <w:sz w:val="24"/>
                <w:szCs w:val="24"/>
                <w:highlight w:val="none"/>
                <w:lang w:eastAsia="zh-CN"/>
              </w:rPr>
              <w:t>。</w:t>
            </w:r>
            <w:r>
              <w:rPr>
                <w:rFonts w:hint="eastAsia" w:ascii="Times New Roman" w:hAnsi="Times New Roman" w:eastAsia="宋体" w:cs="Times New Roman"/>
                <w:kern w:val="2"/>
                <w:sz w:val="24"/>
                <w:szCs w:val="24"/>
                <w:highlight w:val="none"/>
              </w:rPr>
              <w:t>提供不同品牌产品的报价供应商达到3家及以上的继续组织评审。只有2家品牌产品的，按照第41.1条明确的方法执行。</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hint="default" w:ascii="宋体" w:hAnsi="宋体"/>
                <w:sz w:val="24"/>
                <w:highlight w:val="none"/>
                <w:lang w:val="en-US"/>
              </w:rPr>
            </w:pPr>
            <w:r>
              <w:rPr>
                <w:rFonts w:hint="eastAsia" w:ascii="Times New Roman" w:eastAsia="宋体"/>
                <w:kern w:val="2"/>
                <w:sz w:val="24"/>
                <w:szCs w:val="24"/>
                <w:highlight w:val="none"/>
                <w:lang w:val="en-US" w:eastAsia="zh-CN"/>
              </w:rPr>
              <w:t>全自动免疫组化染色机</w:t>
            </w:r>
            <w:r>
              <w:rPr>
                <w:rFonts w:hint="eastAsia"/>
                <w:kern w:val="2"/>
                <w:sz w:val="24"/>
                <w:szCs w:val="24"/>
                <w:highlight w:val="none"/>
                <w:lang w:val="en-US" w:eastAsia="zh-CN"/>
              </w:rPr>
              <w:t>为核心产品</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661170"/>
      <w:bookmarkStart w:id="34" w:name="_Toc130887999"/>
      <w:bookmarkStart w:id="35" w:name="_Toc132186967"/>
      <w:bookmarkStart w:id="36" w:name="_Toc132191251"/>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全自动免疫组化设备</w:t>
      </w:r>
      <w:r>
        <w:rPr>
          <w:rFonts w:hint="eastAsia"/>
          <w:bCs/>
          <w:sz w:val="28"/>
          <w:szCs w:val="28"/>
          <w:highlight w:val="none"/>
          <w:u w:val="single"/>
          <w:lang w:val="en-US" w:eastAsia="zh-CN"/>
        </w:rPr>
        <w:t xml:space="preserve"> </w:t>
      </w:r>
      <w:r>
        <w:rPr>
          <w:rFonts w:hint="eastAsia"/>
          <w:bCs/>
          <w:sz w:val="28"/>
          <w:szCs w:val="28"/>
          <w:highlight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28470288"/>
      <w:bookmarkStart w:id="38" w:name="_Toc16152"/>
      <w:bookmarkStart w:id="39" w:name="_Toc130888000"/>
      <w:bookmarkStart w:id="40" w:name="_Toc132191252"/>
      <w:bookmarkStart w:id="41" w:name="_Toc130661171"/>
      <w:bookmarkStart w:id="42" w:name="_Toc132186968"/>
      <w:bookmarkStart w:id="43" w:name="_Toc128154361"/>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全自动免疫组化设备</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2191253"/>
      <w:bookmarkStart w:id="45" w:name="_Toc128470289"/>
      <w:bookmarkStart w:id="46" w:name="_Toc130888001"/>
      <w:bookmarkStart w:id="47" w:name="_Toc130661172"/>
      <w:bookmarkStart w:id="48" w:name="_Toc132186969"/>
      <w:bookmarkStart w:id="49" w:name="_Toc24455"/>
      <w:bookmarkStart w:id="50" w:name="_Toc128154362"/>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28154363"/>
      <w:bookmarkStart w:id="53" w:name="_Toc128470290"/>
      <w:bookmarkStart w:id="54" w:name="_Toc130888002"/>
      <w:bookmarkStart w:id="55" w:name="_Toc132191254"/>
      <w:bookmarkStart w:id="56" w:name="_Toc130661173"/>
      <w:bookmarkStart w:id="57" w:name="_Toc132186970"/>
      <w:r>
        <w:rPr>
          <w:rFonts w:hint="eastAsia" w:ascii="黑体" w:hAnsi="黑体"/>
          <w:b w:val="0"/>
          <w:sz w:val="28"/>
          <w:szCs w:val="28"/>
          <w:highlight w:val="none"/>
        </w:rPr>
        <w:br w:type="page"/>
      </w: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20" w:hRule="atLeast"/>
          <w:jc w:val="center"/>
        </w:trPr>
        <w:tc>
          <w:tcPr>
            <w:tcW w:w="739" w:type="dxa"/>
            <w:tcBorders>
              <w:top w:val="single" w:color="auto" w:sz="4" w:space="0"/>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明确“参数指标正负偏离情况”</w:t>
            </w:r>
            <w:r>
              <w:rPr>
                <w:rFonts w:hint="eastAsia" w:asciiTheme="minorEastAsia" w:hAnsiTheme="minorEastAsia" w:eastAsiaTheme="minorEastAsia" w:cstheme="minorEastAsia"/>
                <w:kern w:val="2"/>
                <w:sz w:val="22"/>
                <w:szCs w:val="22"/>
                <w:highlight w:val="none"/>
                <w:lang w:val="en-US" w:eastAsia="zh-CN" w:bidi="ar-SA"/>
              </w:rPr>
              <w:t>项</w:t>
            </w:r>
            <w:r>
              <w:rPr>
                <w:rFonts w:hint="eastAsia" w:asciiTheme="minorEastAsia" w:hAnsiTheme="minorEastAsia" w:eastAsiaTheme="minorEastAsia" w:cstheme="minorEastAsia"/>
                <w:kern w:val="2"/>
                <w:sz w:val="22"/>
                <w:szCs w:val="22"/>
                <w:highlight w:val="none"/>
                <w:lang w:val="zh-CN" w:eastAsia="zh-CN" w:bidi="ar-SA"/>
              </w:rPr>
              <w:t>赋40分，技术参数中</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5.75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19</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1.5</w:t>
            </w:r>
            <w:r>
              <w:rPr>
                <w:rFonts w:hint="eastAsia" w:asciiTheme="minorEastAsia" w:hAnsiTheme="minorEastAsia" w:eastAsiaTheme="minorEastAsia" w:cstheme="minorEastAsia"/>
                <w:kern w:val="2"/>
                <w:sz w:val="22"/>
                <w:szCs w:val="22"/>
                <w:highlight w:val="none"/>
                <w:lang w:val="zh-CN" w:eastAsia="zh-CN" w:bidi="ar-SA"/>
              </w:rPr>
              <w:t>分，所有指标均不再认定正偏离加分。</w:t>
            </w:r>
          </w:p>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▲标识的指标和“无标识”指标负偏离≥1</w:t>
            </w:r>
            <w:r>
              <w:rPr>
                <w:rFonts w:hint="eastAsia" w:asciiTheme="minorEastAsia" w:hAnsiTheme="minorEastAsia" w:eastAsiaTheme="minorEastAsia" w:cstheme="minorEastAsia"/>
                <w:kern w:val="2"/>
                <w:sz w:val="22"/>
                <w:szCs w:val="22"/>
                <w:highlight w:val="none"/>
                <w:lang w:val="en-US" w:eastAsia="zh-CN" w:bidi="ar-SA"/>
              </w:rPr>
              <w:t>1</w:t>
            </w:r>
            <w:r>
              <w:rPr>
                <w:rFonts w:hint="eastAsia" w:asciiTheme="minorEastAsia" w:hAnsiTheme="minorEastAsia" w:eastAsiaTheme="minorEastAsia" w:cstheme="minorEastAsia"/>
                <w:kern w:val="2"/>
                <w:sz w:val="22"/>
                <w:szCs w:val="22"/>
                <w:highlight w:val="none"/>
                <w:lang w:val="zh-CN" w:eastAsia="zh-CN" w:bidi="ar-SA"/>
              </w:rPr>
              <w:t>项，技术评审中，“参数指标正负偏离情况”项得0分</w:t>
            </w:r>
          </w:p>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30661174"/>
      <w:bookmarkStart w:id="59" w:name="_Toc130888003"/>
      <w:bookmarkStart w:id="60" w:name="_Toc6896"/>
      <w:bookmarkStart w:id="61" w:name="_Toc132186971"/>
      <w:bookmarkStart w:id="62" w:name="_Toc128154364"/>
      <w:bookmarkStart w:id="63" w:name="_Toc128470291"/>
      <w:bookmarkStart w:id="64" w:name="_Toc132191255"/>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4" w:type="default"/>
          <w:footerReference r:id="rId5"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32186972"/>
      <w:bookmarkStart w:id="66" w:name="_Toc130661175"/>
      <w:bookmarkStart w:id="67" w:name="_Toc130888004"/>
      <w:bookmarkStart w:id="68" w:name="_Toc128154365"/>
      <w:bookmarkStart w:id="69" w:name="_Toc28382"/>
      <w:bookmarkStart w:id="70" w:name="_Toc128470292"/>
      <w:bookmarkStart w:id="71" w:name="_Toc132191256"/>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全自动免疫组化设备</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2024-JQ06-W3666</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全自动免疫组化设备 </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eastAsia" w:eastAsia="宋体"/>
                <w:bCs/>
                <w:snapToGrid w:val="0"/>
                <w:color w:val="auto"/>
                <w:sz w:val="24"/>
                <w:highlight w:val="none"/>
                <w:lang w:val="en-US" w:eastAsia="zh-CN"/>
              </w:rPr>
            </w:pPr>
            <w:r>
              <w:rPr>
                <w:rFonts w:hint="eastAsia"/>
                <w:bCs/>
                <w:snapToGrid w:val="0"/>
                <w:color w:val="auto"/>
                <w:sz w:val="24"/>
                <w:highlight w:val="none"/>
                <w:lang w:val="en-US" w:eastAsia="zh-CN"/>
              </w:rPr>
              <w:t>批</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20.5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20.5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13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13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5</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13</w:t>
      </w:r>
      <w:bookmarkStart w:id="233" w:name="_GoBack"/>
      <w:bookmarkEnd w:id="233"/>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6" w:type="default"/>
          <w:footerReference r:id="rId7"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30564"/>
      <w:bookmarkStart w:id="74" w:name="_Toc132191257"/>
      <w:bookmarkStart w:id="75" w:name="_Toc112768491"/>
      <w:bookmarkStart w:id="76" w:name="_Toc128154366"/>
      <w:bookmarkStart w:id="77" w:name="_Toc128470293"/>
      <w:bookmarkStart w:id="78" w:name="_Toc32050"/>
      <w:bookmarkStart w:id="79" w:name="_Toc132186973"/>
      <w:bookmarkStart w:id="80" w:name="_Toc21632"/>
      <w:bookmarkStart w:id="81" w:name="_Toc28545"/>
      <w:bookmarkStart w:id="82" w:name="_Toc130888005"/>
      <w:bookmarkStart w:id="83" w:name="_Toc9692"/>
      <w:bookmarkStart w:id="84" w:name="_Toc130661176"/>
      <w:bookmarkStart w:id="85" w:name="_Toc112317781"/>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28150133"/>
      <w:bookmarkStart w:id="87" w:name="_Toc127820563"/>
      <w:bookmarkStart w:id="88" w:name="_Toc128150777"/>
      <w:bookmarkStart w:id="89" w:name="_Toc25703"/>
      <w:bookmarkStart w:id="90" w:name="_Toc132190633"/>
      <w:bookmarkStart w:id="91" w:name="_Toc128151026"/>
      <w:bookmarkStart w:id="92" w:name="_Toc189"/>
      <w:bookmarkStart w:id="93" w:name="_Toc128397969"/>
      <w:bookmarkStart w:id="94" w:name="_Toc30945"/>
      <w:bookmarkStart w:id="95" w:name="_Toc130887499"/>
      <w:bookmarkStart w:id="96" w:name="_Toc22387"/>
      <w:bookmarkStart w:id="97" w:name="_Toc128470295"/>
      <w:bookmarkStart w:id="98" w:name="_Toc132186975"/>
      <w:bookmarkStart w:id="99" w:name="_Toc128154368"/>
      <w:bookmarkStart w:id="100" w:name="_Toc130888007"/>
      <w:bookmarkStart w:id="101" w:name="_Toc132191259"/>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p>
      <w:pPr>
        <w:pStyle w:val="113"/>
        <w:spacing w:line="560" w:lineRule="exact"/>
        <w:ind w:firstLine="560"/>
        <w:rPr>
          <w:rFonts w:hAnsi="宋体"/>
          <w:bCs/>
          <w:color w:val="auto"/>
          <w:sz w:val="28"/>
          <w:szCs w:val="28"/>
          <w:highlight w:val="none"/>
        </w:rPr>
      </w:pPr>
      <w:r>
        <w:rPr>
          <w:rFonts w:hAnsi="宋体"/>
          <w:bCs/>
          <w:color w:val="auto"/>
          <w:sz w:val="28"/>
          <w:szCs w:val="28"/>
          <w:highlight w:val="none"/>
          <w:lang w:val="zh-CN"/>
        </w:rPr>
        <w:t>（一）</w:t>
      </w:r>
      <w:r>
        <w:rPr>
          <w:rFonts w:hAnsi="宋体"/>
          <w:bCs/>
          <w:color w:val="auto"/>
          <w:sz w:val="28"/>
          <w:szCs w:val="28"/>
          <w:highlight w:val="none"/>
        </w:rPr>
        <w:t>交货</w:t>
      </w:r>
      <w:r>
        <w:rPr>
          <w:rFonts w:hint="eastAsia" w:hAnsi="宋体"/>
          <w:bCs/>
          <w:color w:val="auto"/>
          <w:sz w:val="28"/>
          <w:szCs w:val="28"/>
          <w:highlight w:val="none"/>
        </w:rPr>
        <w:t>时间</w:t>
      </w:r>
      <w:r>
        <w:rPr>
          <w:rFonts w:hAnsi="宋体"/>
          <w:bCs/>
          <w:color w:val="auto"/>
          <w:sz w:val="28"/>
          <w:szCs w:val="28"/>
          <w:highlight w:val="none"/>
        </w:rPr>
        <w:t>、地点</w:t>
      </w:r>
      <w:r>
        <w:rPr>
          <w:rFonts w:hint="eastAsia" w:hAnsi="宋体"/>
          <w:bCs/>
          <w:color w:val="auto"/>
          <w:sz w:val="28"/>
          <w:szCs w:val="28"/>
          <w:highlight w:val="none"/>
        </w:rPr>
        <w:t>和方式</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1.</w:t>
      </w:r>
      <w:r>
        <w:rPr>
          <w:rFonts w:hint="eastAsia" w:hAnsi="宋体"/>
          <w:bCs/>
          <w:color w:val="auto"/>
          <w:sz w:val="28"/>
          <w:szCs w:val="28"/>
          <w:highlight w:val="none"/>
        </w:rPr>
        <w:t>交货时间：</w:t>
      </w:r>
      <w:r>
        <w:rPr>
          <w:rFonts w:hint="eastAsia" w:hAnsi="宋体"/>
          <w:bCs/>
          <w:color w:val="auto"/>
          <w:sz w:val="28"/>
          <w:szCs w:val="28"/>
          <w:highlight w:val="none"/>
          <w:u w:val="single"/>
          <w:lang w:eastAsia="zh-CN"/>
        </w:rPr>
        <w:t>合同签订后</w:t>
      </w:r>
      <w:r>
        <w:rPr>
          <w:rFonts w:hint="eastAsia" w:hAnsi="宋体"/>
          <w:bCs/>
          <w:color w:val="auto"/>
          <w:sz w:val="28"/>
          <w:szCs w:val="28"/>
          <w:highlight w:val="none"/>
          <w:u w:val="single"/>
          <w:lang w:val="en-US" w:eastAsia="zh-CN"/>
        </w:rPr>
        <w:t>三个月内交付</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2.</w:t>
      </w:r>
      <w:r>
        <w:rPr>
          <w:rFonts w:hint="eastAsia" w:hAnsi="宋体"/>
          <w:bCs/>
          <w:color w:val="auto"/>
          <w:sz w:val="28"/>
          <w:szCs w:val="28"/>
          <w:highlight w:val="none"/>
        </w:rPr>
        <w:t>交货地点：</w:t>
      </w:r>
      <w:r>
        <w:rPr>
          <w:rFonts w:hint="eastAsia" w:hAnsi="宋体"/>
          <w:bCs/>
          <w:color w:val="auto"/>
          <w:sz w:val="28"/>
          <w:szCs w:val="28"/>
          <w:highlight w:val="none"/>
          <w:u w:val="single"/>
          <w:lang w:val="en-US" w:eastAsia="zh-CN"/>
        </w:rPr>
        <w:t>由</w:t>
      </w:r>
      <w:r>
        <w:rPr>
          <w:rFonts w:hint="eastAsia" w:hAnsi="宋体"/>
          <w:bCs/>
          <w:color w:val="auto"/>
          <w:sz w:val="28"/>
          <w:szCs w:val="28"/>
          <w:highlight w:val="none"/>
          <w:u w:val="single"/>
          <w:lang w:eastAsia="zh-CN"/>
        </w:rPr>
        <w:t>甲方指定</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3.</w:t>
      </w:r>
      <w:r>
        <w:rPr>
          <w:rFonts w:hint="eastAsia" w:hAnsi="宋体"/>
          <w:bCs/>
          <w:color w:val="auto"/>
          <w:sz w:val="28"/>
          <w:szCs w:val="28"/>
          <w:highlight w:val="none"/>
        </w:rPr>
        <w:t>交货方式：</w:t>
      </w:r>
      <w:r>
        <w:rPr>
          <w:rFonts w:hint="eastAsia" w:hAnsi="宋体"/>
          <w:bCs/>
          <w:color w:val="auto"/>
          <w:sz w:val="28"/>
          <w:szCs w:val="28"/>
          <w:highlight w:val="none"/>
          <w:u w:val="single"/>
          <w:lang w:val="en-US" w:eastAsia="zh-CN"/>
        </w:rPr>
        <w:t xml:space="preserve">由甲方指定 </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lang w:val="en-US" w:eastAsia="zh-CN"/>
        </w:rPr>
        <w:t>★</w:t>
      </w:r>
      <w:r>
        <w:rPr>
          <w:rFonts w:hAnsi="宋体"/>
          <w:bCs/>
          <w:color w:val="auto"/>
          <w:sz w:val="28"/>
          <w:szCs w:val="28"/>
          <w:highlight w:val="none"/>
          <w:lang w:val="zh-CN"/>
        </w:rPr>
        <w:t>（二）</w:t>
      </w:r>
      <w:r>
        <w:rPr>
          <w:rFonts w:hint="eastAsia" w:hAnsi="宋体"/>
          <w:bCs/>
          <w:color w:val="auto"/>
          <w:sz w:val="28"/>
          <w:szCs w:val="28"/>
          <w:highlight w:val="none"/>
        </w:rPr>
        <w:t>产品包装和运输要求</w:t>
      </w:r>
      <w:r>
        <w:rPr>
          <w:rFonts w:hint="eastAsia" w:hAnsi="宋体"/>
          <w:bCs/>
          <w:color w:val="auto"/>
          <w:sz w:val="28"/>
          <w:szCs w:val="28"/>
          <w:highlight w:val="none"/>
          <w:lang w:val="en-US" w:eastAsia="zh-CN"/>
        </w:rPr>
        <w:t>（企业承诺）</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u w:val="single"/>
          <w:lang w:eastAsia="zh-CN"/>
        </w:rPr>
        <w:t>按照国家、行业的相关标准规范，产品确保包装完好，运输确保不对产品造成损伤</w:t>
      </w:r>
      <w:r>
        <w:rPr>
          <w:rFonts w:hint="eastAsia" w:hAnsi="宋体"/>
          <w:bCs/>
          <w:color w:val="auto"/>
          <w:sz w:val="28"/>
          <w:szCs w:val="28"/>
          <w:highlight w:val="none"/>
        </w:rPr>
        <w:t>。</w:t>
      </w:r>
    </w:p>
    <w:p>
      <w:pPr>
        <w:pStyle w:val="113"/>
        <w:spacing w:line="560" w:lineRule="exact"/>
        <w:ind w:firstLine="560"/>
        <w:rPr>
          <w:rFonts w:hint="eastAsia" w:hAnsi="宋体" w:eastAsia="宋体"/>
          <w:bCs/>
          <w:color w:val="auto"/>
          <w:sz w:val="28"/>
          <w:szCs w:val="28"/>
          <w:highlight w:val="none"/>
          <w:lang w:val="en-US" w:eastAsia="zh-CN"/>
        </w:rPr>
      </w:pPr>
      <w:r>
        <w:rPr>
          <w:rFonts w:hint="eastAsia" w:hAnsi="宋体"/>
          <w:bCs/>
          <w:color w:val="auto"/>
          <w:sz w:val="28"/>
          <w:szCs w:val="28"/>
          <w:highlight w:val="none"/>
          <w:lang w:val="en-US" w:eastAsia="zh-CN"/>
        </w:rPr>
        <w:t>★</w:t>
      </w:r>
      <w:r>
        <w:rPr>
          <w:rFonts w:hint="eastAsia" w:hAnsi="宋体"/>
          <w:bCs/>
          <w:color w:val="auto"/>
          <w:sz w:val="28"/>
          <w:szCs w:val="28"/>
          <w:highlight w:val="none"/>
        </w:rPr>
        <w:t>（三）售后服务</w:t>
      </w:r>
      <w:r>
        <w:rPr>
          <w:rFonts w:hint="eastAsia" w:hAnsi="宋体"/>
          <w:bCs/>
          <w:color w:val="auto"/>
          <w:sz w:val="28"/>
          <w:szCs w:val="28"/>
          <w:highlight w:val="none"/>
          <w:lang w:val="en-US" w:eastAsia="zh-CN"/>
        </w:rPr>
        <w:t>（企业承诺）</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 付款及结算方式 物资到货（服务完成）验收后付95%。</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★2 履约保证金/质量保证金 验收合格后满一年无质量问题支付剩余5%。</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★3 售后服务1（质保）保修年限不低于三年，全年故障停机时间不高于5%（按365日/年计算)。（原厂授权或供企业承诺）</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 xml:space="preserve">                  </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★4 售后服务2（质保）保修期内免费提供定期维护保养服务，免费升级和维护软件，免费提供使用培训。</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left="0" w:leftChars="0" w:firstLine="560" w:firstLineChars="20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★5 售后服务3（响应时间）维修响应时间≤4小时，京内维修到达现场时间≤12小时，京外维修到达现场时间≤48小时。</w:t>
      </w:r>
    </w:p>
    <w:p>
      <w:pPr>
        <w:pStyle w:val="113"/>
        <w:spacing w:line="560" w:lineRule="exact"/>
        <w:ind w:firstLine="56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★6 备品备件要求（零配件）由供应商承诺项目使用寿命周期内保证零配件供应。</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★7</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物资编目编码、打码贴签要求</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★8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0" w:type="first"/>
          <w:headerReference r:id="rId8" w:type="default"/>
          <w:footerReference r:id="rId11" w:type="default"/>
          <w:headerReference r:id="rId9" w:type="even"/>
          <w:pgSz w:w="11906" w:h="16838"/>
          <w:pgMar w:top="1418" w:right="1134" w:bottom="1418" w:left="1418" w:header="851" w:footer="992" w:gutter="0"/>
          <w:pgNumType w:fmt="decimal"/>
          <w:cols w:space="720" w:num="1"/>
          <w:docGrid w:linePitch="312" w:charSpace="0"/>
        </w:sectPr>
      </w:pPr>
    </w:p>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97"/>
      <w:bookmarkEnd w:id="98"/>
      <w:bookmarkEnd w:id="99"/>
      <w:bookmarkEnd w:id="100"/>
      <w:bookmarkEnd w:id="101"/>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2024-JQ06-W3666</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全自动免疫组化设备</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20.5（1项）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全自动免疫组化染色机，集离心、样本处理、制片、染色全自动一体机。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液基薄层细胞制片机，采用薄层细胞学检测技术(TCT)完成脱落细胞涂片的自动制片。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彩色载玻片打号机，对玻片需要的区域打印标签。</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全自动免疫组化染色机自动化程度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全自动，集离心、样本处理、制片、染色一体，自动离心，自动样本前处理、自动制片、自动染色。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全自动免疫组化染色机单批制片量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单批≥24个样本，支持任意数量样本制片染色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全自动免疫组化染色机制片方法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沉降式制片，巴氏染色、可支持HE染色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全自动免疫组化染色机制片面积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制成的玻片诊断面积直径≥13mm的圆形薄层细胞涂片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全自动免疫组化染色机染色模式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染色深浅模式有标准模式和自定义模式，自定义染色模式可以由用户通过设定苏木素及EA/OG的染色时间来调节染色的深浅</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全自动免疫组化染色机操作系统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内置嵌入式触控操作系统，触摸屏，无需另行配置电脑</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全自动免疫组化染色机数据处理功能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系统自动保存上次操作参数，制片过程实时监控，实时显示仪器的进行状态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全自动免疫组化染色机适用范围</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用于细胞病理学检查，配套不同的试剂盒可应用于包括宫颈细胞、痰液细胞、尿液细胞、针吸细胞、浆膜腔积液等液基细胞学制片染色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全自动免疫组化染色机仪器运行模式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支持制片染色模式、单独制片模式，单独染色模式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液基薄层细胞制片机通量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≥2片/批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液基薄层细胞制片机制片速度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每批标本处理时间为≤30秒，每小时可处理标本量≥180份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液基薄层细胞制片机重复制片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同一样本，可以重复制片8张及以上高度重复性与一致性的玻片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液基薄层细胞制片机原理</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高精度膜式过滤采集技术</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液基薄层细胞制片机样本兼容</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可制备所有细胞学样本，包括宫颈妇科细胞学及非妇科细胞学检测</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液基薄层细胞制片机样本储存</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保存液可保存细胞形态和DNA信息，常温保存≥1个月。</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彩色载玻片打号机打印速度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≥5片/分钟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彩色载玻片打号机打印分辨率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≥300dpi</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彩色载玻片打号机载玻片进样盒容量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≥100片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彩色载玻片打号机附加进样盒容量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≥100片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彩色载玻片打号机输出槽容量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≥10片载玻片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彩色载玻片打号机防脱色</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在免疫化学染色过程中号码不会脱色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彩色载玻片打号机兼容性</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可与医院HIS系统连接</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液基薄层细胞制片机1台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彩色载玻片打号机1台</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▲标识的指标和“无标识”指标负偏离≥11项，投标企业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16"/>
                <w:szCs w:val="16"/>
                <w:u w:val="none"/>
                <w:lang w:val="en-US" w:eastAsia="zh-CN" w:bidi="ar"/>
              </w:rPr>
              <w:t>“</w:t>
            </w:r>
            <w:r>
              <w:rPr>
                <w:rFonts w:hint="eastAsia"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6"/>
                <w:szCs w:val="16"/>
                <w:u w:val="none"/>
                <w:lang w:val="en-US" w:eastAsia="zh-CN" w:bidi="ar"/>
              </w:rPr>
              <w:t>”</w:t>
            </w:r>
            <w:r>
              <w:rPr>
                <w:rFonts w:hint="eastAsia" w:ascii="宋体" w:hAnsi="宋体" w:cs="宋体"/>
                <w:i w:val="0"/>
                <w:color w:val="000000"/>
                <w:kern w:val="0"/>
                <w:sz w:val="18"/>
                <w:szCs w:val="18"/>
                <w:u w:val="none"/>
                <w:lang w:val="en-US" w:eastAsia="zh-CN" w:bidi="ar"/>
              </w:rPr>
              <w:t>号</w:t>
            </w:r>
            <w:r>
              <w:rPr>
                <w:rFonts w:hint="eastAsia" w:ascii="宋体" w:hAnsi="宋体" w:eastAsia="宋体" w:cs="宋体"/>
                <w:i w:val="0"/>
                <w:color w:val="000000"/>
                <w:kern w:val="0"/>
                <w:sz w:val="18"/>
                <w:szCs w:val="18"/>
                <w:u w:val="none"/>
                <w:lang w:val="en-US" w:eastAsia="zh-CN" w:bidi="ar"/>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512"/>
        <w:gridCol w:w="1125"/>
        <w:gridCol w:w="1161"/>
        <w:gridCol w:w="696"/>
        <w:gridCol w:w="858"/>
        <w:gridCol w:w="2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63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全自动免疫组化设备</w:t>
            </w:r>
          </w:p>
        </w:tc>
        <w:tc>
          <w:tcPr>
            <w:tcW w:w="116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408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p16抗体试剂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免疫染色试剂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Ki-67抗体试剂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9"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免疫染色试剂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82</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微小染色体维持蛋白2（MCM2）抗体试剂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一次性使用宫颈采样刷</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29"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样本保存液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3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一次性使用细胞过滤采集器（双层过滤膜杯）</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475" w:type="dxa"/>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512"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粘附载玻片</w:t>
            </w:r>
          </w:p>
        </w:tc>
        <w:tc>
          <w:tcPr>
            <w:tcW w:w="1125"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2534"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1人份/张</w:t>
            </w:r>
          </w:p>
        </w:tc>
      </w:tr>
    </w:tbl>
    <w:p>
      <w:pPr>
        <w:pStyle w:val="16"/>
        <w:rPr>
          <w:rFonts w:hint="eastAsia"/>
          <w:highlight w:val="none"/>
          <w:lang w:val="en-US" w:eastAsia="zh-CN"/>
        </w:rPr>
      </w:pPr>
    </w:p>
    <w:p>
      <w:pPr>
        <w:pStyle w:val="16"/>
        <w:rPr>
          <w:rFonts w:hint="eastAsia"/>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footerReference r:id="rId12"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2550"/>
      <w:bookmarkStart w:id="103" w:name="_Toc17172"/>
      <w:bookmarkStart w:id="104" w:name="_Toc112768494"/>
      <w:bookmarkStart w:id="105" w:name="_Toc27977"/>
      <w:bookmarkStart w:id="106" w:name="_Toc7226"/>
      <w:bookmarkStart w:id="107" w:name="_Toc31554"/>
      <w:bookmarkStart w:id="108" w:name="_Toc130661177"/>
      <w:bookmarkStart w:id="109" w:name="_Toc128154369"/>
      <w:bookmarkStart w:id="110" w:name="_Toc130888008"/>
      <w:bookmarkStart w:id="111" w:name="_Toc128470296"/>
      <w:bookmarkStart w:id="112" w:name="_Toc132186976"/>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32191261"/>
      <w:bookmarkStart w:id="115" w:name="_Toc20638"/>
      <w:bookmarkStart w:id="116" w:name="_Toc128470297"/>
      <w:bookmarkStart w:id="117" w:name="_Toc128154370"/>
      <w:bookmarkStart w:id="118" w:name="_Toc112768495"/>
      <w:bookmarkStart w:id="119" w:name="_Toc25715"/>
      <w:bookmarkStart w:id="120" w:name="_Toc20706"/>
      <w:bookmarkStart w:id="121" w:name="_Toc15775"/>
      <w:bookmarkStart w:id="122" w:name="_Toc130888009"/>
      <w:bookmarkStart w:id="123" w:name="_Toc9762"/>
      <w:bookmarkStart w:id="124" w:name="_Toc130661178"/>
      <w:bookmarkStart w:id="125" w:name="_Toc132186977"/>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7592"/>
      <w:bookmarkStart w:id="127" w:name="_Toc21913"/>
      <w:bookmarkStart w:id="128" w:name="_Toc128470298"/>
      <w:bookmarkStart w:id="129" w:name="_Toc22250"/>
      <w:bookmarkStart w:id="130" w:name="_Toc12507"/>
      <w:bookmarkStart w:id="131" w:name="_Toc130661179"/>
      <w:bookmarkStart w:id="132" w:name="_Toc128154371"/>
      <w:bookmarkStart w:id="133" w:name="_Toc3957"/>
      <w:bookmarkStart w:id="134" w:name="_Toc112768496"/>
      <w:bookmarkStart w:id="135" w:name="_Toc2697"/>
      <w:bookmarkStart w:id="136" w:name="_Toc7039"/>
      <w:bookmarkStart w:id="137" w:name="_Toc130888010"/>
      <w:bookmarkStart w:id="138" w:name="_Toc132186978"/>
      <w:bookmarkStart w:id="139" w:name="_Toc9283"/>
      <w:bookmarkStart w:id="140" w:name="_Toc132191262"/>
      <w:bookmarkStart w:id="141" w:name="_Toc28273"/>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28154372"/>
      <w:bookmarkStart w:id="143" w:name="_Toc128470299"/>
      <w:bookmarkStart w:id="144" w:name="_Toc31837"/>
      <w:bookmarkStart w:id="145" w:name="_Toc130888011"/>
      <w:bookmarkStart w:id="146" w:name="_Toc19051"/>
      <w:bookmarkStart w:id="147" w:name="_Toc23458"/>
      <w:bookmarkStart w:id="148" w:name="_Toc2301"/>
      <w:bookmarkStart w:id="149" w:name="_Toc15844"/>
      <w:bookmarkStart w:id="150" w:name="_Toc112768497"/>
      <w:bookmarkStart w:id="151" w:name="_Toc18208"/>
      <w:bookmarkStart w:id="152" w:name="_Toc132186979"/>
      <w:bookmarkStart w:id="153" w:name="_Toc7115"/>
      <w:bookmarkStart w:id="154" w:name="_Toc132191263"/>
      <w:bookmarkStart w:id="155" w:name="_Toc12001"/>
      <w:bookmarkStart w:id="156" w:name="_Toc130661180"/>
      <w:bookmarkStart w:id="157" w:name="_Toc23995"/>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21216200"/>
      <w:bookmarkStart w:id="159" w:name="_Toc128470300"/>
      <w:bookmarkStart w:id="160" w:name="_Toc132186980"/>
      <w:bookmarkStart w:id="161" w:name="_Toc130661181"/>
      <w:bookmarkStart w:id="162" w:name="_Toc130888012"/>
      <w:bookmarkStart w:id="163" w:name="_Toc128154373"/>
      <w:bookmarkStart w:id="164" w:name="_Toc132191264"/>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28470301"/>
      <w:bookmarkStart w:id="166" w:name="_Toc130661182"/>
      <w:bookmarkStart w:id="167" w:name="_Toc128154374"/>
      <w:bookmarkStart w:id="168" w:name="_Toc130888013"/>
      <w:bookmarkStart w:id="169" w:name="_Toc132191265"/>
      <w:bookmarkStart w:id="170" w:name="_Toc132186981"/>
      <w:bookmarkStart w:id="171" w:name="_Toc1212162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28470302"/>
      <w:bookmarkStart w:id="173" w:name="_Toc130888014"/>
      <w:bookmarkStart w:id="174" w:name="_Toc132186982"/>
      <w:bookmarkStart w:id="175" w:name="_Toc130661183"/>
      <w:bookmarkStart w:id="176" w:name="_Toc128154375"/>
      <w:bookmarkStart w:id="177" w:name="_Toc132191266"/>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0661184"/>
      <w:bookmarkStart w:id="179" w:name="_Toc130888015"/>
      <w:bookmarkStart w:id="180" w:name="_Toc132191267"/>
      <w:bookmarkStart w:id="181" w:name="_Toc132186983"/>
      <w:bookmarkStart w:id="182" w:name="_Toc128154376"/>
      <w:bookmarkStart w:id="183" w:name="_Toc12847030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12768500"/>
      <w:bookmarkStart w:id="185" w:name="_Toc128154377"/>
      <w:bookmarkStart w:id="186" w:name="_Toc130888016"/>
      <w:bookmarkStart w:id="187" w:name="_Toc15635"/>
      <w:bookmarkStart w:id="188" w:name="_Toc996"/>
      <w:bookmarkStart w:id="189" w:name="_Toc132191268"/>
      <w:bookmarkStart w:id="190" w:name="_Toc24432"/>
      <w:bookmarkStart w:id="191" w:name="_Toc130661185"/>
      <w:bookmarkStart w:id="192" w:name="_Toc26597"/>
      <w:bookmarkStart w:id="193" w:name="_Toc128470304"/>
      <w:bookmarkStart w:id="194" w:name="_Toc32477"/>
      <w:bookmarkStart w:id="195" w:name="_Toc132186984"/>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32494"/>
      <w:bookmarkStart w:id="197" w:name="_Toc128154378"/>
      <w:bookmarkStart w:id="198" w:name="_Toc130661186"/>
      <w:bookmarkStart w:id="199" w:name="_Toc121216205"/>
      <w:bookmarkStart w:id="200" w:name="_Toc132186985"/>
      <w:bookmarkStart w:id="201" w:name="_Toc28703"/>
      <w:bookmarkStart w:id="202" w:name="_Toc132191269"/>
      <w:bookmarkStart w:id="203" w:name="_Toc10300"/>
      <w:bookmarkStart w:id="204" w:name="_Toc130888017"/>
      <w:bookmarkStart w:id="205" w:name="_Toc14862"/>
      <w:bookmarkStart w:id="206" w:name="_Toc128470305"/>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30888018"/>
      <w:bookmarkStart w:id="208" w:name="_Toc130661187"/>
      <w:bookmarkStart w:id="209" w:name="_Toc132191270"/>
      <w:bookmarkStart w:id="210" w:name="_Toc132186986"/>
      <w:bookmarkStart w:id="211" w:name="_Toc16995"/>
      <w:bookmarkStart w:id="212" w:name="_Toc128154379"/>
      <w:bookmarkStart w:id="213" w:name="_Toc8142"/>
      <w:bookmarkStart w:id="214" w:name="_Toc128470306"/>
      <w:bookmarkStart w:id="215" w:name="_Toc14394"/>
      <w:bookmarkStart w:id="216" w:name="_Toc121216206"/>
      <w:bookmarkStart w:id="217" w:name="_Toc7334"/>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30661188"/>
      <w:bookmarkStart w:id="219" w:name="_Toc132191271"/>
      <w:bookmarkStart w:id="220" w:name="_Toc128470307"/>
      <w:bookmarkStart w:id="221" w:name="_Toc132186987"/>
      <w:bookmarkStart w:id="222" w:name="_Toc21465"/>
      <w:bookmarkStart w:id="223" w:name="_Toc15882"/>
      <w:bookmarkStart w:id="224" w:name="_Toc25665"/>
      <w:bookmarkStart w:id="225" w:name="_Toc128154380"/>
      <w:bookmarkStart w:id="226" w:name="_Toc130888019"/>
      <w:bookmarkStart w:id="227" w:name="_Toc23845"/>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3"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r>
              <w:rPr>
                <w:rFonts w:hint="eastAsia" w:ascii="宋体" w:hAnsi="宋体"/>
                <w:sz w:val="21"/>
                <w:szCs w:val="21"/>
                <w:highlight w:val="none"/>
                <w:u w:val="none"/>
                <w:lang w:val="en-US" w:eastAsia="zh-CN" w:bidi="ar-SA"/>
              </w:rPr>
              <w:t>专用附件3.1</w:t>
            </w: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4"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如全自动免疫组化染色机</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如液基薄层细胞制片机</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如彩色载玻片打号机</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1</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default"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报价单位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vMerge w:val="restart"/>
            <w:tcBorders>
              <w:top w:val="single" w:color="auto" w:sz="4" w:space="0"/>
              <w:left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举例：p16抗体试剂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25000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vMerge w:val="continue"/>
            <w:tcBorders>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举例：p16抗体试剂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25000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1215" w:type="dxa"/>
            <w:vMerge w:val="restart"/>
            <w:tcBorders>
              <w:top w:val="single" w:color="auto" w:sz="4" w:space="0"/>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举例：免疫染色试剂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注册证C</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25000</w:t>
            </w:r>
          </w:p>
        </w:tc>
        <w:tc>
          <w:tcPr>
            <w:tcW w:w="1321" w:type="dxa"/>
            <w:vMerge w:val="restart"/>
            <w:tcBorders>
              <w:top w:val="single" w:color="auto" w:sz="4" w:space="0"/>
              <w:left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1215"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举例：免疫染色试剂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注册证C</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25000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color w:val="auto"/>
                <w:sz w:val="22"/>
                <w:szCs w:val="22"/>
                <w:highlight w:val="none"/>
                <w:lang w:val="en-US" w:eastAsia="zh-CN"/>
              </w:rPr>
              <w:t>总价之和</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default" w:ascii="宋体" w:hAnsi="宋体" w:cs="宋体"/>
          <w:bCs/>
          <w:color w:val="auto"/>
          <w:sz w:val="28"/>
          <w:szCs w:val="28"/>
          <w:highlight w:val="none"/>
          <w:u w:val="single"/>
          <w:lang w:val="en-US"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r>
        <w:rPr>
          <w:rFonts w:hint="eastAsia"/>
          <w:highlight w:val="none"/>
          <w:lang w:val="en-US" w:eastAsia="zh-CN"/>
        </w:rPr>
        <w:t xml:space="preserve"> </w:t>
      </w:r>
    </w:p>
    <w:p>
      <w:pPr>
        <w:spacing w:beforeLines="50" w:afterLines="50" w:line="560" w:lineRule="exact"/>
        <w:ind w:firstLine="2520" w:firstLineChars="700"/>
        <w:jc w:val="both"/>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color w:val="auto"/>
          <w:sz w:val="28"/>
          <w:lang w:val="en-US" w:eastAsia="zh-CN"/>
        </w:rPr>
        <w:t xml:space="preserve"> </w:t>
      </w: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5" w:type="default"/>
          <w:footerReference r:id="rId16"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pStyle w:val="16"/>
        <w:rPr>
          <w:rFonts w:hint="eastAsia"/>
          <w:lang w:val="zh-CN"/>
        </w:rPr>
      </w:pPr>
    </w:p>
    <w:p>
      <w:pPr>
        <w:spacing w:line="560" w:lineRule="exact"/>
        <w:rPr>
          <w:highlight w:val="none"/>
          <w:lang w:val="zh-CN"/>
        </w:rPr>
      </w:pPr>
      <w:r>
        <w:rPr>
          <w:highlight w:val="none"/>
          <w:lang w:val="zh-CN"/>
        </w:rPr>
        <w:br w:type="page"/>
      </w:r>
    </w:p>
    <w:p>
      <w:pPr>
        <w:rPr>
          <w:rFonts w:hint="eastAsia"/>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532"/>
    <w:rsid w:val="00461E1A"/>
    <w:rsid w:val="00462B72"/>
    <w:rsid w:val="0046306F"/>
    <w:rsid w:val="0046318E"/>
    <w:rsid w:val="004632C6"/>
    <w:rsid w:val="004640B8"/>
    <w:rsid w:val="00464653"/>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2015CC"/>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84810"/>
    <w:rsid w:val="062E0F1B"/>
    <w:rsid w:val="06822631"/>
    <w:rsid w:val="068A0CFC"/>
    <w:rsid w:val="068A7901"/>
    <w:rsid w:val="068B011B"/>
    <w:rsid w:val="0701218C"/>
    <w:rsid w:val="07421F74"/>
    <w:rsid w:val="07C949EF"/>
    <w:rsid w:val="07F20B13"/>
    <w:rsid w:val="08000695"/>
    <w:rsid w:val="093E2FA0"/>
    <w:rsid w:val="09673E3C"/>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D14AB9"/>
    <w:rsid w:val="0EE76E01"/>
    <w:rsid w:val="0EEF272F"/>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225054"/>
    <w:rsid w:val="144900B5"/>
    <w:rsid w:val="14562003"/>
    <w:rsid w:val="14B85155"/>
    <w:rsid w:val="14DC364E"/>
    <w:rsid w:val="152534E9"/>
    <w:rsid w:val="171E7F58"/>
    <w:rsid w:val="17C42F61"/>
    <w:rsid w:val="18433A70"/>
    <w:rsid w:val="18695DE3"/>
    <w:rsid w:val="1957218F"/>
    <w:rsid w:val="195F062F"/>
    <w:rsid w:val="19865777"/>
    <w:rsid w:val="199267D4"/>
    <w:rsid w:val="19ED0D1F"/>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83178"/>
    <w:rsid w:val="230C5CE8"/>
    <w:rsid w:val="23DB58A8"/>
    <w:rsid w:val="23EC2634"/>
    <w:rsid w:val="23F064FA"/>
    <w:rsid w:val="241053A1"/>
    <w:rsid w:val="2432177F"/>
    <w:rsid w:val="245060A9"/>
    <w:rsid w:val="24C20D54"/>
    <w:rsid w:val="25114177"/>
    <w:rsid w:val="25C96113"/>
    <w:rsid w:val="25DC4792"/>
    <w:rsid w:val="26097A28"/>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E1B296B"/>
    <w:rsid w:val="2E262354"/>
    <w:rsid w:val="2E552C39"/>
    <w:rsid w:val="2F5015CC"/>
    <w:rsid w:val="2F716E18"/>
    <w:rsid w:val="2F8301FF"/>
    <w:rsid w:val="300A4285"/>
    <w:rsid w:val="300B11EA"/>
    <w:rsid w:val="307C1216"/>
    <w:rsid w:val="30843362"/>
    <w:rsid w:val="30CA6DC7"/>
    <w:rsid w:val="310060D1"/>
    <w:rsid w:val="31655504"/>
    <w:rsid w:val="326276D3"/>
    <w:rsid w:val="32701EF4"/>
    <w:rsid w:val="32B258B7"/>
    <w:rsid w:val="33900F89"/>
    <w:rsid w:val="339A10EE"/>
    <w:rsid w:val="33B757FC"/>
    <w:rsid w:val="33B83430"/>
    <w:rsid w:val="3437693D"/>
    <w:rsid w:val="34B5681D"/>
    <w:rsid w:val="34F4272D"/>
    <w:rsid w:val="34FA5C45"/>
    <w:rsid w:val="35C91DF7"/>
    <w:rsid w:val="36623A07"/>
    <w:rsid w:val="368E7B3A"/>
    <w:rsid w:val="3699568D"/>
    <w:rsid w:val="36CA5847"/>
    <w:rsid w:val="37004C6F"/>
    <w:rsid w:val="37141D64"/>
    <w:rsid w:val="371F2036"/>
    <w:rsid w:val="37602AF2"/>
    <w:rsid w:val="376C2A40"/>
    <w:rsid w:val="3816405B"/>
    <w:rsid w:val="38593F37"/>
    <w:rsid w:val="38A7470F"/>
    <w:rsid w:val="38B501E4"/>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8D0702"/>
    <w:rsid w:val="3C9932CE"/>
    <w:rsid w:val="3D3B749E"/>
    <w:rsid w:val="3DB03FCF"/>
    <w:rsid w:val="3DDE7B5E"/>
    <w:rsid w:val="3DF276BA"/>
    <w:rsid w:val="3DFC38D5"/>
    <w:rsid w:val="3E1E016D"/>
    <w:rsid w:val="3E280DCC"/>
    <w:rsid w:val="3E442382"/>
    <w:rsid w:val="3ED25651"/>
    <w:rsid w:val="3EE746A5"/>
    <w:rsid w:val="3FC312FA"/>
    <w:rsid w:val="40442077"/>
    <w:rsid w:val="405F5F3D"/>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6E13BB"/>
    <w:rsid w:val="45F14855"/>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A62A6"/>
    <w:rsid w:val="4FD44A3C"/>
    <w:rsid w:val="50F32112"/>
    <w:rsid w:val="51133F79"/>
    <w:rsid w:val="514D61C2"/>
    <w:rsid w:val="518A6447"/>
    <w:rsid w:val="52293911"/>
    <w:rsid w:val="522B5E7C"/>
    <w:rsid w:val="523E5075"/>
    <w:rsid w:val="52421257"/>
    <w:rsid w:val="527514EF"/>
    <w:rsid w:val="531558BC"/>
    <w:rsid w:val="53C90724"/>
    <w:rsid w:val="53EB539E"/>
    <w:rsid w:val="5422054D"/>
    <w:rsid w:val="54A320E7"/>
    <w:rsid w:val="54D11CCC"/>
    <w:rsid w:val="550B6A44"/>
    <w:rsid w:val="55120D38"/>
    <w:rsid w:val="55CD509B"/>
    <w:rsid w:val="56014384"/>
    <w:rsid w:val="56710C02"/>
    <w:rsid w:val="568E7108"/>
    <w:rsid w:val="56CE6835"/>
    <w:rsid w:val="572A5C41"/>
    <w:rsid w:val="572B120F"/>
    <w:rsid w:val="57357687"/>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9E5E2B"/>
    <w:rsid w:val="5EAD0BB0"/>
    <w:rsid w:val="5ED209B4"/>
    <w:rsid w:val="5F690E4C"/>
    <w:rsid w:val="601F69F6"/>
    <w:rsid w:val="60752C67"/>
    <w:rsid w:val="60B95A82"/>
    <w:rsid w:val="60EE28D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50F19B1"/>
    <w:rsid w:val="6562503C"/>
    <w:rsid w:val="663B22BC"/>
    <w:rsid w:val="663F7051"/>
    <w:rsid w:val="66A9597C"/>
    <w:rsid w:val="66AB3A44"/>
    <w:rsid w:val="670F4827"/>
    <w:rsid w:val="676A4F57"/>
    <w:rsid w:val="67B5251D"/>
    <w:rsid w:val="67C365D4"/>
    <w:rsid w:val="67E548D9"/>
    <w:rsid w:val="687716F6"/>
    <w:rsid w:val="690D143F"/>
    <w:rsid w:val="69713AF2"/>
    <w:rsid w:val="69F745C9"/>
    <w:rsid w:val="6A0359B4"/>
    <w:rsid w:val="6A114F5F"/>
    <w:rsid w:val="6A65190A"/>
    <w:rsid w:val="6B25645F"/>
    <w:rsid w:val="6B542D30"/>
    <w:rsid w:val="6BB74E52"/>
    <w:rsid w:val="6BEA3CC1"/>
    <w:rsid w:val="6C040369"/>
    <w:rsid w:val="6C8C6991"/>
    <w:rsid w:val="6CCF512C"/>
    <w:rsid w:val="6E65769A"/>
    <w:rsid w:val="6EFA0BA6"/>
    <w:rsid w:val="6F044005"/>
    <w:rsid w:val="6F5C2AB8"/>
    <w:rsid w:val="6FB40D90"/>
    <w:rsid w:val="70E01533"/>
    <w:rsid w:val="70E114A5"/>
    <w:rsid w:val="71235408"/>
    <w:rsid w:val="714A78CA"/>
    <w:rsid w:val="714E5FA0"/>
    <w:rsid w:val="71593474"/>
    <w:rsid w:val="72442975"/>
    <w:rsid w:val="72B02765"/>
    <w:rsid w:val="72FD69EC"/>
    <w:rsid w:val="73965D07"/>
    <w:rsid w:val="739E3D02"/>
    <w:rsid w:val="73BD1BDB"/>
    <w:rsid w:val="740551C7"/>
    <w:rsid w:val="742D2323"/>
    <w:rsid w:val="74A159DA"/>
    <w:rsid w:val="756E3C30"/>
    <w:rsid w:val="75FF5737"/>
    <w:rsid w:val="76796366"/>
    <w:rsid w:val="769D686B"/>
    <w:rsid w:val="77662A1A"/>
    <w:rsid w:val="78064733"/>
    <w:rsid w:val="792602AC"/>
    <w:rsid w:val="79F83A81"/>
    <w:rsid w:val="7A3A36CD"/>
    <w:rsid w:val="7A4153ED"/>
    <w:rsid w:val="7ABD27F2"/>
    <w:rsid w:val="7B7A36AA"/>
    <w:rsid w:val="7B9E6ACC"/>
    <w:rsid w:val="7BF546E1"/>
    <w:rsid w:val="7C1A6B80"/>
    <w:rsid w:val="7C4D62CB"/>
    <w:rsid w:val="7C5424EB"/>
    <w:rsid w:val="7CB9570E"/>
    <w:rsid w:val="7D897DBC"/>
    <w:rsid w:val="7D8C30D2"/>
    <w:rsid w:val="7DFF5695"/>
    <w:rsid w:val="7E3037AE"/>
    <w:rsid w:val="7E3D56A8"/>
    <w:rsid w:val="7EEB12D3"/>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64</Pages>
  <Words>21618</Words>
  <Characters>22909</Characters>
  <Lines>339</Lines>
  <Paragraphs>95</Paragraphs>
  <TotalTime>3</TotalTime>
  <ScaleCrop>false</ScaleCrop>
  <LinksUpToDate>false</LinksUpToDate>
  <CharactersWithSpaces>25592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2025-03-13T07:08:00Z</cp:lastPrinted>
  <dcterms:modified xsi:type="dcterms:W3CDTF">2025-04-16T02:11:47Z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