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2"/>
        <w:rPr>
          <w:rFonts w:ascii="方正小标宋简体" w:eastAsia="方正小标宋简体"/>
          <w:b w:val="0"/>
          <w:sz w:val="84"/>
          <w:szCs w:val="84"/>
          <w:highlight w:val="none"/>
        </w:rPr>
      </w:pPr>
      <w:bookmarkStart w:id="0" w:name="_Toc128150123"/>
      <w:bookmarkStart w:id="1" w:name="_Toc128151016"/>
      <w:bookmarkStart w:id="2" w:name="_Toc127820554"/>
      <w:bookmarkStart w:id="3" w:name="_Toc130886988"/>
      <w:bookmarkStart w:id="4" w:name="_Toc128397959"/>
      <w:bookmarkStart w:id="5" w:name="_Toc130657981"/>
      <w:bookmarkStart w:id="6" w:name="_Toc130887489"/>
      <w:bookmarkStart w:id="7" w:name="_Toc130657527"/>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shd w:val="clear"/>
        <w:spacing w:line="560" w:lineRule="exact"/>
        <w:ind w:firstLine="1440" w:firstLineChars="400"/>
        <w:jc w:val="both"/>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eastAsia="zh-CN"/>
        </w:rPr>
        <w:t>全自动细菌分枝杆菌培养监测系统</w:t>
      </w:r>
    </w:p>
    <w:p>
      <w:pPr>
        <w:pStyle w:val="21"/>
        <w:shd w:val="clear"/>
        <w:adjustRightInd w:val="0"/>
        <w:snapToGrid w:val="0"/>
        <w:spacing w:line="240" w:lineRule="atLeast"/>
        <w:ind w:left="0" w:leftChars="0" w:firstLine="2160" w:firstLineChars="600"/>
        <w:jc w:val="both"/>
        <w:rPr>
          <w:rFonts w:hAnsi="宋体"/>
          <w:bCs/>
          <w:sz w:val="32"/>
          <w:szCs w:val="32"/>
          <w:highlight w:val="none"/>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2024-JQ06-W3662</w:t>
      </w: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3</w:t>
      </w:r>
      <w:r>
        <w:rPr>
          <w:rFonts w:hint="eastAsia" w:ascii="方正小标宋简体" w:eastAsia="方正小标宋简体"/>
          <w:bCs/>
          <w:sz w:val="36"/>
          <w:szCs w:val="36"/>
          <w:highlight w:val="none"/>
        </w:rPr>
        <w:t>月</w:t>
      </w: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3"/>
        <w:keepNext w:val="0"/>
        <w:keepLines w:val="0"/>
        <w:adjustRightInd w:val="0"/>
        <w:snapToGrid w:val="0"/>
        <w:spacing w:line="560" w:lineRule="exact"/>
        <w:jc w:val="center"/>
        <w:rPr>
          <w:rFonts w:hint="eastAsia"/>
          <w:b w:val="0"/>
          <w:szCs w:val="44"/>
          <w:highlight w:val="none"/>
          <w:lang w:val="zh-CN"/>
        </w:rPr>
        <w:sectPr>
          <w:headerReference r:id="rId3" w:type="default"/>
          <w:footerReference r:id="rId4" w:type="default"/>
          <w:pgSz w:w="11906" w:h="16838"/>
          <w:pgMar w:top="1418" w:right="991"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rFonts w:ascii="方正小标宋简体"/>
          <w:bCs w:val="0"/>
          <w:szCs w:val="44"/>
          <w:highlight w:val="none"/>
        </w:rPr>
      </w:pP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9</w:t>
          </w:r>
          <w:r>
            <w:rPr>
              <w:sz w:val="28"/>
              <w:szCs w:val="28"/>
              <w:highlight w:val="none"/>
            </w:rPr>
            <w:fldChar w:fldCharType="end"/>
          </w:r>
          <w:r>
            <w:rPr>
              <w:rFonts w:hint="eastAsia"/>
              <w:sz w:val="28"/>
              <w:szCs w:val="28"/>
              <w:highlight w:val="none"/>
              <w:lang w:val="en-US" w:eastAsia="zh-CN"/>
            </w:rPr>
            <w:t>0</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2</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7</w:t>
          </w:r>
        </w:p>
        <w:bookmarkEnd w:id="11"/>
        <w:p>
          <w:pPr>
            <w:pStyle w:val="20"/>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0"/>
        <w:tabs>
          <w:tab w:val="right" w:leader="dot" w:pos="9344"/>
        </w:tabs>
        <w:ind w:left="-27" w:leftChars="-13"/>
        <w:rPr>
          <w:rFonts w:asciiTheme="minorHAnsi" w:hAnsiTheme="minorHAnsi" w:cstheme="minorBidi"/>
          <w:b w:val="0"/>
          <w:sz w:val="21"/>
          <w:szCs w:val="22"/>
          <w:highlight w:val="none"/>
        </w:rPr>
      </w:pPr>
    </w:p>
    <w:p>
      <w:pPr>
        <w:pStyle w:val="20"/>
        <w:tabs>
          <w:tab w:val="right" w:leader="dot" w:pos="9344"/>
        </w:tabs>
        <w:ind w:left="42" w:leftChars="20"/>
        <w:rPr>
          <w:rFonts w:asciiTheme="minorEastAsia" w:hAnsiTheme="minorEastAsia" w:cstheme="minorBidi"/>
          <w:b w:val="0"/>
          <w:sz w:val="21"/>
          <w:szCs w:val="22"/>
          <w:highlight w:val="none"/>
        </w:rPr>
      </w:pPr>
    </w:p>
    <w:p>
      <w:pPr>
        <w:pStyle w:val="21"/>
        <w:adjustRightInd w:val="0"/>
        <w:snapToGrid w:val="0"/>
        <w:spacing w:line="240" w:lineRule="atLeast"/>
        <w:jc w:val="center"/>
        <w:rPr>
          <w:rFonts w:hAnsi="宋体"/>
          <w:bCs/>
          <w:sz w:val="32"/>
          <w:szCs w:val="32"/>
          <w:highlight w:val="none"/>
        </w:rPr>
        <w:sectPr>
          <w:footerReference r:id="rId5" w:type="default"/>
          <w:pgSz w:w="11906" w:h="16838"/>
          <w:pgMar w:top="1418" w:right="991" w:bottom="1418" w:left="1418" w:header="851" w:footer="851" w:gutter="0"/>
          <w:pgNumType w:fmt="decimal" w:start="1"/>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16" w:name="_Toc128470286"/>
      <w:bookmarkStart w:id="17" w:name="_Toc130887998"/>
      <w:bookmarkStart w:id="18" w:name="_Toc130661169"/>
      <w:bookmarkStart w:id="19" w:name="_Toc132186966"/>
      <w:bookmarkStart w:id="20" w:name="_Toc27201"/>
      <w:bookmarkStart w:id="21" w:name="_Toc132191250"/>
      <w:bookmarkStart w:id="22" w:name="_Toc128154359"/>
      <w:bookmarkStart w:id="23" w:name="_Toc112317780"/>
      <w:bookmarkStart w:id="24" w:name="_Toc20311"/>
      <w:bookmarkStart w:id="25" w:name="_Toc112768490"/>
      <w:bookmarkStart w:id="26" w:name="_Toc15622"/>
      <w:bookmarkStart w:id="27" w:name="_Toc30198"/>
      <w:bookmarkStart w:id="28" w:name="_Toc32290"/>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1"/>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hint="eastAsia" w:ascii="宋体" w:hAnsi="宋体" w:cs="宋体"/>
                <w:sz w:val="24"/>
                <w:highlight w:val="none"/>
                <w:u w:val="single"/>
                <w:lang w:val="en-US" w:eastAsia="zh-CN"/>
              </w:rPr>
            </w:pPr>
            <w:r>
              <w:rPr>
                <w:rFonts w:hint="eastAsia" w:ascii="宋体" w:hAnsi="宋体" w:cs="宋体"/>
                <w:sz w:val="24"/>
                <w:highlight w:val="none"/>
                <w:u w:val="single"/>
                <w:lang w:val="en-US" w:eastAsia="zh-CN"/>
              </w:rPr>
              <w:t>全自动细菌分枝杆菌培养监测系统</w:t>
            </w:r>
          </w:p>
          <w:p>
            <w:pPr>
              <w:spacing w:line="360" w:lineRule="exact"/>
              <w:rPr>
                <w:rFonts w:ascii="宋体" w:hAnsi="宋体" w:cs="宋体"/>
                <w:sz w:val="24"/>
                <w:highlight w:val="none"/>
              </w:rPr>
            </w:pP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45</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一式5份，其中，</w:t>
            </w:r>
            <w:r>
              <w:rPr>
                <w:rFonts w:hint="eastAsia" w:ascii="宋体" w:hAnsi="宋体"/>
                <w:sz w:val="24"/>
                <w:highlight w:val="none"/>
                <w:lang w:val="zh-CN"/>
              </w:rPr>
              <w:t>正本1份，副本</w:t>
            </w:r>
            <w:r>
              <w:rPr>
                <w:rFonts w:hint="eastAsia" w:ascii="宋体" w:hAnsi="宋体"/>
                <w:sz w:val="24"/>
                <w:highlight w:val="none"/>
                <w:lang w:val="en-US" w:eastAsia="zh-CN"/>
              </w:rPr>
              <w:t>4</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4</w:t>
            </w:r>
            <w:r>
              <w:rPr>
                <w:rFonts w:hint="eastAsia" w:ascii="宋体" w:hAnsi="宋体"/>
                <w:b/>
                <w:bCs/>
                <w:sz w:val="24"/>
                <w:highlight w:val="none"/>
                <w:lang w:val="zh-CN"/>
              </w:rPr>
              <w:t>副共</w:t>
            </w:r>
            <w:r>
              <w:rPr>
                <w:rFonts w:hint="eastAsia" w:ascii="宋体" w:hAnsi="宋体"/>
                <w:b/>
                <w:bCs/>
                <w:sz w:val="24"/>
                <w:highlight w:val="none"/>
                <w:lang w:val="en-US" w:eastAsia="zh-CN"/>
              </w:rPr>
              <w:t>5</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szCs w:val="24"/>
                <w:u w:val="single"/>
                <w:lang w:val="en-US" w:eastAsia="zh-CN"/>
              </w:rPr>
              <w:t>5</w:t>
            </w:r>
            <w:r>
              <w:rPr>
                <w:rFonts w:hint="eastAsia" w:ascii="宋体" w:hAnsi="宋体" w:cs="宋体"/>
                <w:sz w:val="24"/>
                <w:szCs w:val="24"/>
              </w:rPr>
              <w:t>月</w:t>
            </w:r>
            <w:r>
              <w:rPr>
                <w:rFonts w:hint="eastAsia" w:ascii="宋体" w:hAnsi="宋体" w:cs="宋体"/>
                <w:sz w:val="24"/>
                <w:szCs w:val="24"/>
                <w:u w:val="single"/>
                <w:lang w:val="en-US" w:eastAsia="zh-CN"/>
              </w:rPr>
              <w:t xml:space="preserve"> 15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none"/>
                <w:lang w:val="en-US" w:eastAsia="zh-CN"/>
              </w:rPr>
              <w:t>¥</w:t>
            </w:r>
            <w:r>
              <w:rPr>
                <w:rFonts w:hint="eastAsia" w:ascii="宋体" w:hAnsi="宋体" w:cs="宋体"/>
                <w:sz w:val="24"/>
                <w:szCs w:val="24"/>
                <w:u w:val="single"/>
                <w:lang w:val="en-US" w:eastAsia="zh-CN"/>
              </w:rPr>
              <w:t>9000</w:t>
            </w:r>
            <w:r>
              <w:rPr>
                <w:rFonts w:hint="eastAsia" w:ascii="宋体" w:hAnsi="宋体" w:cs="宋体"/>
                <w:sz w:val="24"/>
                <w:szCs w:val="24"/>
                <w:u w:val="none"/>
                <w:lang w:val="en-US" w:eastAsia="zh-CN"/>
              </w:rPr>
              <w:t>（大写）</w:t>
            </w:r>
            <w:r>
              <w:rPr>
                <w:rFonts w:hint="eastAsia" w:ascii="宋体" w:hAnsi="宋体" w:cs="宋体"/>
                <w:sz w:val="24"/>
                <w:szCs w:val="24"/>
                <w:u w:val="single"/>
                <w:lang w:val="en-US" w:eastAsia="zh-CN"/>
              </w:rPr>
              <w:t>玖仟</w:t>
            </w:r>
            <w:r>
              <w:rPr>
                <w:rFonts w:hint="eastAsia" w:ascii="宋体" w:hAnsi="宋体" w:cs="宋体"/>
                <w:sz w:val="24"/>
                <w:szCs w:val="24"/>
                <w:u w:val="none"/>
                <w:lang w:val="en-US" w:eastAsia="zh-CN"/>
              </w:rPr>
              <w:t>元整</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并在谈判当日提供1份保函原件，报价时与手持文件（法人资格证明书、法定代表人授权书、授权代表近1年内任意1个月缴纳社保的证明材料）单独提交。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5</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16 </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lang w:val="en-US" w:eastAsia="zh-CN"/>
              </w:rPr>
              <w:t>5</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16</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5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16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相同品牌供应商得分或报价相同的规定</w:t>
            </w:r>
          </w:p>
        </w:tc>
        <w:tc>
          <w:tcPr>
            <w:tcW w:w="4350" w:type="dxa"/>
            <w:vAlign w:val="center"/>
          </w:tcPr>
          <w:p>
            <w:pPr>
              <w:adjustRightInd w:val="0"/>
              <w:snapToGrid w:val="0"/>
              <w:spacing w:line="360" w:lineRule="exact"/>
              <w:rPr>
                <w:rFonts w:hint="eastAsia" w:ascii="宋体" w:hAnsi="宋体" w:eastAsia="宋体"/>
                <w:sz w:val="24"/>
                <w:highlight w:val="none"/>
                <w:lang w:eastAsia="zh-CN"/>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154360"/>
      <w:bookmarkStart w:id="32" w:name="_Toc128470287"/>
      <w:r>
        <w:rPr>
          <w:rFonts w:ascii="黑体" w:hAnsi="黑体"/>
          <w:b/>
          <w:sz w:val="28"/>
          <w:szCs w:val="28"/>
          <w:highlight w:val="none"/>
        </w:rPr>
        <w:br w:type="page"/>
      </w:r>
    </w:p>
    <w:p>
      <w:pPr>
        <w:pStyle w:val="4"/>
        <w:spacing w:beforeLines="50" w:afterLines="50" w:line="560" w:lineRule="exact"/>
        <w:rPr>
          <w:rFonts w:ascii="黑体" w:hAnsi="黑体"/>
          <w:b w:val="0"/>
          <w:sz w:val="28"/>
          <w:szCs w:val="28"/>
          <w:highlight w:val="none"/>
        </w:rPr>
      </w:pPr>
      <w:bookmarkStart w:id="33" w:name="_Toc130661170"/>
      <w:bookmarkStart w:id="34" w:name="_Toc132191251"/>
      <w:bookmarkStart w:id="35" w:name="_Toc132186967"/>
      <w:bookmarkStart w:id="36" w:name="_Toc130887999"/>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全自动细菌分枝杆菌培养监测系统</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2024-JQ06-W366</w:t>
      </w:r>
      <w:r>
        <w:rPr>
          <w:rFonts w:hint="eastAsia"/>
          <w:bCs/>
          <w:sz w:val="28"/>
          <w:szCs w:val="28"/>
          <w:highlight w:val="none"/>
          <w:u w:val="single"/>
          <w:lang w:val="en-US" w:eastAsia="zh-CN"/>
        </w:rPr>
        <w:t>2</w:t>
      </w:r>
      <w:r>
        <w:rPr>
          <w:rFonts w:hint="eastAsia"/>
          <w:bCs/>
          <w:sz w:val="28"/>
          <w:szCs w:val="28"/>
          <w:highlight w:val="none"/>
          <w:lang w:val="en-US" w:eastAsia="zh-CN"/>
        </w:rPr>
        <w:t xml:space="preserve"> </w:t>
      </w:r>
    </w:p>
    <w:tbl>
      <w:tblPr>
        <w:tblStyle w:val="41"/>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4"/>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eastAsia="宋体" w:cs="Times New Roman"/>
                <w:bCs/>
                <w:kern w:val="2"/>
                <w:sz w:val="24"/>
                <w:szCs w:val="24"/>
                <w:highlight w:val="none"/>
                <w:lang w:val="en-US" w:eastAsia="zh-CN" w:bidi="ar-SA"/>
              </w:rPr>
              <w:t>报价供应商须提供《医疗器械经营许可证》或经营备案凭证。如生产企业（北京生产厂家在北京地区销售产品）仅提供《医疗器械生产许可证》。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0" w:after="0" w:line="560" w:lineRule="exact"/>
        <w:rPr>
          <w:rFonts w:ascii="黑体" w:hAnsi="黑体"/>
          <w:b w:val="0"/>
          <w:sz w:val="28"/>
          <w:szCs w:val="28"/>
          <w:highlight w:val="none"/>
        </w:rPr>
      </w:pPr>
      <w:r>
        <w:rPr>
          <w:b w:val="0"/>
          <w:highlight w:val="none"/>
        </w:rPr>
        <w:br w:type="page"/>
      </w:r>
      <w:bookmarkStart w:id="37" w:name="_Toc132191252"/>
      <w:bookmarkStart w:id="38" w:name="_Toc128154361"/>
      <w:bookmarkStart w:id="39" w:name="_Toc130661171"/>
      <w:bookmarkStart w:id="40" w:name="_Toc130888000"/>
      <w:bookmarkStart w:id="41" w:name="_Toc16152"/>
      <w:bookmarkStart w:id="42" w:name="_Toc128470288"/>
      <w:bookmarkStart w:id="43" w:name="_Toc132186968"/>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全自动细菌分枝杆菌培养监测系统</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2024-JQ06-W3666</w:t>
      </w:r>
    </w:p>
    <w:tbl>
      <w:tblPr>
        <w:tblStyle w:val="41"/>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4"/>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Lines="50" w:afterLines="50" w:line="560" w:lineRule="exact"/>
        <w:rPr>
          <w:rFonts w:ascii="黑体" w:hAnsi="黑体"/>
          <w:b w:val="0"/>
          <w:sz w:val="28"/>
          <w:szCs w:val="28"/>
          <w:highlight w:val="none"/>
        </w:rPr>
      </w:pPr>
      <w:r>
        <w:rPr>
          <w:b w:val="0"/>
          <w:highlight w:val="none"/>
        </w:rPr>
        <w:br w:type="page"/>
      </w:r>
      <w:bookmarkStart w:id="44" w:name="_Toc128470289"/>
      <w:bookmarkStart w:id="45" w:name="_Toc128154362"/>
      <w:bookmarkStart w:id="46" w:name="_Toc132191253"/>
      <w:bookmarkStart w:id="47" w:name="_Toc130661172"/>
      <w:bookmarkStart w:id="48" w:name="_Toc132186969"/>
      <w:bookmarkStart w:id="49" w:name="_Toc24455"/>
      <w:bookmarkStart w:id="50" w:name="_Toc130888001"/>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1"/>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4"/>
        <w:spacing w:beforeLines="50" w:afterLines="50" w:line="415" w:lineRule="auto"/>
        <w:rPr>
          <w:rFonts w:hint="eastAsia" w:ascii="黑体" w:hAnsi="黑体"/>
          <w:b w:val="0"/>
          <w:sz w:val="28"/>
          <w:szCs w:val="28"/>
          <w:highlight w:val="none"/>
        </w:rPr>
      </w:pPr>
      <w:bookmarkStart w:id="52" w:name="_Toc132191254"/>
      <w:bookmarkStart w:id="53" w:name="_Toc132186970"/>
      <w:bookmarkStart w:id="54" w:name="_Toc128470290"/>
      <w:bookmarkStart w:id="55" w:name="_Toc130888002"/>
      <w:bookmarkStart w:id="56" w:name="_Toc130661173"/>
      <w:bookmarkStart w:id="57" w:name="_Toc128154363"/>
      <w:r>
        <w:rPr>
          <w:rFonts w:hint="eastAsia" w:ascii="黑体" w:hAnsi="黑体"/>
          <w:b w:val="0"/>
          <w:sz w:val="28"/>
          <w:szCs w:val="28"/>
          <w:highlight w:val="none"/>
        </w:rPr>
        <w:br w:type="page"/>
      </w:r>
    </w:p>
    <w:p>
      <w:pPr>
        <w:pStyle w:val="4"/>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bookmarkEnd w:id="51"/>
      <w:bookmarkEnd w:id="52"/>
      <w:bookmarkEnd w:id="53"/>
      <w:bookmarkEnd w:id="54"/>
      <w:bookmarkEnd w:id="55"/>
      <w:bookmarkEnd w:id="56"/>
      <w:bookmarkEnd w:id="57"/>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1"/>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4874"/>
        <w:gridCol w:w="28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320" w:hRule="atLeast"/>
          <w:jc w:val="center"/>
        </w:trPr>
        <w:tc>
          <w:tcPr>
            <w:tcW w:w="739" w:type="dxa"/>
            <w:tcBorders>
              <w:top w:val="single" w:color="auto" w:sz="4" w:space="0"/>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left"/>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zh-CN" w:eastAsia="zh-CN" w:bidi="ar-SA"/>
              </w:rPr>
              <w:t>明确“参数指标正负偏离情况”</w:t>
            </w:r>
            <w:r>
              <w:rPr>
                <w:rFonts w:hint="eastAsia" w:asciiTheme="minorEastAsia" w:hAnsiTheme="minorEastAsia" w:eastAsiaTheme="minorEastAsia" w:cstheme="minorEastAsia"/>
                <w:kern w:val="2"/>
                <w:sz w:val="22"/>
                <w:szCs w:val="22"/>
                <w:highlight w:val="none"/>
                <w:lang w:val="en-US" w:eastAsia="zh-CN" w:bidi="ar-SA"/>
              </w:rPr>
              <w:t>项</w:t>
            </w:r>
            <w:r>
              <w:rPr>
                <w:rFonts w:hint="eastAsia" w:asciiTheme="minorEastAsia" w:hAnsiTheme="minorEastAsia" w:eastAsiaTheme="minorEastAsia" w:cstheme="minorEastAsia"/>
                <w:kern w:val="2"/>
                <w:sz w:val="22"/>
                <w:szCs w:val="22"/>
                <w:highlight w:val="none"/>
                <w:lang w:val="zh-CN" w:eastAsia="zh-CN" w:bidi="ar-SA"/>
              </w:rPr>
              <w:t>赋40分，技术参数中</w:t>
            </w:r>
            <w:r>
              <w:rPr>
                <w:rFonts w:hint="eastAsia" w:asciiTheme="minorEastAsia" w:hAnsiTheme="minorEastAsia" w:eastAsiaTheme="minorEastAsia" w:cstheme="minorEastAsia"/>
                <w:kern w:val="2"/>
                <w:sz w:val="22"/>
                <w:szCs w:val="22"/>
                <w:highlight w:val="none"/>
                <w:lang w:val="en-US" w:eastAsia="zh-CN" w:bidi="ar-SA"/>
              </w:rPr>
              <w:t>3</w:t>
            </w:r>
            <w:r>
              <w:rPr>
                <w:rFonts w:hint="eastAsia" w:asciiTheme="minorEastAsia" w:hAnsiTheme="minorEastAsia" w:eastAsiaTheme="minorEastAsia" w:cstheme="minorEastAsia"/>
                <w:kern w:val="2"/>
                <w:sz w:val="22"/>
                <w:szCs w:val="22"/>
                <w:highlight w:val="none"/>
                <w:lang w:val="zh-CN" w:eastAsia="zh-CN" w:bidi="ar-SA"/>
              </w:rPr>
              <w:t>项“▲”技术指标，每项负偏离扣</w:t>
            </w:r>
            <w:r>
              <w:rPr>
                <w:rFonts w:hint="eastAsia" w:asciiTheme="minorEastAsia" w:hAnsiTheme="minorEastAsia" w:eastAsiaTheme="minorEastAsia" w:cstheme="minorEastAsia"/>
                <w:kern w:val="2"/>
                <w:sz w:val="22"/>
                <w:szCs w:val="22"/>
                <w:highlight w:val="none"/>
                <w:lang w:val="en-US" w:eastAsia="zh-CN" w:bidi="ar-SA"/>
              </w:rPr>
              <w:t>8</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4</w:t>
            </w:r>
            <w:r>
              <w:rPr>
                <w:rFonts w:hint="eastAsia" w:asciiTheme="minorEastAsia" w:hAnsiTheme="minorEastAsia" w:eastAsiaTheme="minorEastAsia" w:cstheme="minorEastAsia"/>
                <w:kern w:val="2"/>
                <w:sz w:val="22"/>
                <w:szCs w:val="22"/>
                <w:highlight w:val="none"/>
                <w:lang w:val="zh-CN" w:eastAsia="zh-CN" w:bidi="ar-SA"/>
              </w:rPr>
              <w:t>项“无标识”技术指标，每项负偏离扣</w:t>
            </w:r>
            <w:r>
              <w:rPr>
                <w:rFonts w:hint="eastAsia" w:asciiTheme="minorEastAsia" w:hAnsiTheme="minorEastAsia" w:eastAsiaTheme="minorEastAsia" w:cstheme="minorEastAsia"/>
                <w:kern w:val="2"/>
                <w:sz w:val="22"/>
                <w:szCs w:val="22"/>
                <w:highlight w:val="none"/>
                <w:lang w:val="en-US" w:eastAsia="zh-CN" w:bidi="ar-SA"/>
              </w:rPr>
              <w:t>4</w:t>
            </w:r>
            <w:r>
              <w:rPr>
                <w:rFonts w:hint="eastAsia" w:asciiTheme="minorEastAsia" w:hAnsiTheme="minorEastAsia" w:eastAsiaTheme="minorEastAsia" w:cstheme="minorEastAsia"/>
                <w:kern w:val="2"/>
                <w:sz w:val="22"/>
                <w:szCs w:val="22"/>
                <w:highlight w:val="none"/>
                <w:lang w:val="zh-CN" w:eastAsia="zh-CN" w:bidi="ar-SA"/>
              </w:rPr>
              <w:t>分，所有指标均不再认定正偏离加分。</w:t>
            </w:r>
          </w:p>
          <w:p>
            <w:pPr>
              <w:numPr>
                <w:ilvl w:val="0"/>
                <w:numId w:val="0"/>
              </w:numPr>
              <w:spacing w:line="300" w:lineRule="exact"/>
              <w:jc w:val="left"/>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zh-CN" w:eastAsia="zh-CN" w:bidi="ar-SA"/>
              </w:rPr>
              <w:t>▲标识的指标和“无标识”指标负偏离≥</w:t>
            </w:r>
            <w:r>
              <w:rPr>
                <w:rFonts w:hint="eastAsia" w:asciiTheme="minorEastAsia" w:hAnsiTheme="minorEastAsia" w:eastAsiaTheme="minorEastAsia" w:cstheme="minorEastAsia"/>
                <w:kern w:val="2"/>
                <w:sz w:val="22"/>
                <w:szCs w:val="22"/>
                <w:highlight w:val="none"/>
                <w:lang w:val="en-US" w:eastAsia="zh-CN" w:bidi="ar-SA"/>
              </w:rPr>
              <w:t>4</w:t>
            </w:r>
            <w:r>
              <w:rPr>
                <w:rFonts w:hint="eastAsia" w:asciiTheme="minorEastAsia" w:hAnsiTheme="minorEastAsia" w:eastAsiaTheme="minorEastAsia" w:cstheme="minorEastAsia"/>
                <w:kern w:val="2"/>
                <w:sz w:val="22"/>
                <w:szCs w:val="22"/>
                <w:highlight w:val="none"/>
                <w:lang w:val="zh-CN" w:eastAsia="zh-CN" w:bidi="ar-SA"/>
              </w:rPr>
              <w:t>项，技术评审中，“参数指标正负偏离情况”项得0分</w:t>
            </w:r>
          </w:p>
          <w:p>
            <w:pPr>
              <w:numPr>
                <w:ilvl w:val="0"/>
                <w:numId w:val="0"/>
              </w:numPr>
              <w:spacing w:line="300" w:lineRule="exact"/>
              <w:jc w:val="left"/>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报价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4874" w:type="dxa"/>
            <w:tcBorders>
              <w:top w:val="single" w:color="auto" w:sz="4" w:space="0"/>
              <w:left w:val="single" w:color="auto" w:sz="4" w:space="0"/>
              <w:bottom w:val="single" w:color="auto" w:sz="4" w:space="0"/>
              <w:right w:val="single" w:color="auto" w:sz="4" w:space="0"/>
            </w:tcBorders>
            <w:vAlign w:val="center"/>
          </w:tcPr>
          <w:p>
            <w:pPr>
              <w:pStyle w:val="49"/>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1分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rPr>
              <w:t>1分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837"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人须如实填写，并须国家药品监督管理局官网截图同时生产厂家承诺并加盖生产厂家及</w:t>
            </w:r>
            <w:r>
              <w:rPr>
                <w:rFonts w:hint="eastAsia" w:asciiTheme="minorEastAsia" w:hAnsiTheme="minorEastAsia" w:eastAsiaTheme="minorEastAsia" w:cstheme="minorEastAsia"/>
                <w:sz w:val="22"/>
                <w:szCs w:val="22"/>
                <w:highlight w:val="none"/>
                <w:lang w:eastAsia="zh-CN"/>
              </w:rPr>
              <w:t>报价人</w:t>
            </w:r>
            <w:r>
              <w:rPr>
                <w:rFonts w:hint="eastAsia" w:asciiTheme="minorEastAsia" w:hAnsiTheme="minorEastAsia" w:eastAsiaTheme="minorEastAsia" w:cstheme="minorEastAsia"/>
                <w:sz w:val="22"/>
                <w:szCs w:val="22"/>
                <w:highlight w:val="none"/>
              </w:rPr>
              <w:t>公章，有1项扣3分。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widowControl/>
        <w:jc w:val="left"/>
        <w:rPr>
          <w:rFonts w:ascii="黑体" w:hAnsi="黑体" w:eastAsia="黑体"/>
          <w:bCs/>
          <w:sz w:val="36"/>
          <w:szCs w:val="36"/>
          <w:highlight w:val="none"/>
        </w:rPr>
      </w:pPr>
      <w:r>
        <w:rPr>
          <w:rFonts w:ascii="黑体" w:hAnsi="黑体" w:eastAsia="黑体"/>
          <w:bCs/>
          <w:sz w:val="36"/>
          <w:szCs w:val="36"/>
          <w:highlight w:val="none"/>
        </w:rPr>
        <w:br w:type="page"/>
      </w:r>
    </w:p>
    <w:p>
      <w:pPr>
        <w:pStyle w:val="4"/>
        <w:spacing w:beforeLines="50" w:afterLines="50" w:line="415" w:lineRule="auto"/>
        <w:rPr>
          <w:rFonts w:ascii="黑体" w:hAnsi="黑体"/>
          <w:b w:val="0"/>
          <w:sz w:val="28"/>
          <w:szCs w:val="28"/>
          <w:highlight w:val="none"/>
        </w:rPr>
      </w:pPr>
      <w:bookmarkStart w:id="58" w:name="_Toc130888003"/>
      <w:bookmarkStart w:id="59" w:name="_Toc132191255"/>
      <w:bookmarkStart w:id="60" w:name="_Toc6896"/>
      <w:bookmarkStart w:id="61" w:name="_Toc132186971"/>
      <w:bookmarkStart w:id="62" w:name="_Toc130661174"/>
      <w:bookmarkStart w:id="63" w:name="_Toc128470291"/>
      <w:bookmarkStart w:id="64" w:name="_Toc128154364"/>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1"/>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16分）</w:t>
            </w:r>
          </w:p>
          <w:p>
            <w:pPr>
              <w:widowControl/>
              <w:numPr>
                <w:ilvl w:val="0"/>
                <w:numId w:val="0"/>
              </w:numPr>
              <w:snapToGrid w:val="0"/>
              <w:spacing w:line="276" w:lineRule="auto"/>
              <w:jc w:val="left"/>
              <w:rPr>
                <w:rFonts w:hint="default"/>
                <w:color w:val="auto"/>
                <w:highlight w:val="none"/>
                <w:lang w:val="en-US" w:eastAsia="zh-CN"/>
              </w:rPr>
            </w:pPr>
            <w:r>
              <w:rPr>
                <w:rFonts w:hint="eastAsia" w:ascii="宋体" w:hAnsi="宋体"/>
                <w:b/>
                <w:bCs w:val="0"/>
                <w:color w:val="auto"/>
                <w:sz w:val="24"/>
                <w:highlight w:val="none"/>
                <w:lang w:val="en-US" w:eastAsia="zh-CN"/>
              </w:rPr>
              <w:t>2</w:t>
            </w:r>
            <w:r>
              <w:rPr>
                <w:rFonts w:hint="eastAsia" w:ascii="宋体" w:hAnsi="宋体"/>
                <w:bCs/>
                <w:color w:val="auto"/>
                <w:sz w:val="24"/>
                <w:highlight w:val="none"/>
                <w:lang w:val="en-US" w:eastAsia="zh-CN"/>
              </w:rPr>
              <w:t>.耗材</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且耗材报价总价最低的作为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eastAsia="zh-CN"/>
              </w:rPr>
              <w:t>耗材价格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24分）</w:t>
            </w:r>
            <w:r>
              <w:rPr>
                <w:rFonts w:hint="eastAsia" w:ascii="宋体" w:hAnsi="宋体"/>
                <w:bCs/>
                <w:color w:val="auto"/>
                <w:sz w:val="24"/>
                <w:highlight w:val="none"/>
              </w:rPr>
              <w:t>。</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default" w:ascii="宋体" w:hAnsi="宋体" w:eastAsia="宋体"/>
                <w:bCs/>
                <w:color w:val="auto"/>
                <w:sz w:val="24"/>
                <w:highlight w:val="none"/>
                <w:lang w:val="en-US" w:eastAsia="zh-CN"/>
              </w:rPr>
              <w:t>价格分共计40分，明确设备报价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40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60</w:t>
            </w:r>
            <w:r>
              <w:rPr>
                <w:rFonts w:hint="default" w:ascii="宋体" w:hAnsi="宋体" w:eastAsia="宋体"/>
                <w:bCs/>
                <w:color w:val="auto"/>
                <w:sz w:val="24"/>
                <w:highlight w:val="none"/>
                <w:lang w:val="en-US" w:eastAsia="zh-CN"/>
              </w:rPr>
              <w:t>%</w:t>
            </w:r>
          </w:p>
        </w:tc>
      </w:tr>
    </w:tbl>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highlight w:val="none"/>
          <w:lang w:val="en-US" w:eastAsia="zh-CN"/>
        </w:rPr>
        <w:sectPr>
          <w:headerReference r:id="rId6" w:type="default"/>
          <w:footerReference r:id="rId7" w:type="default"/>
          <w:pgSz w:w="11906" w:h="16838"/>
          <w:pgMar w:top="1418" w:right="1134" w:bottom="1418" w:left="1418" w:header="851" w:footer="851" w:gutter="0"/>
          <w:pgNumType w:fmt="decimal" w:start="72"/>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65" w:name="_Toc132186972"/>
      <w:bookmarkStart w:id="66" w:name="_Toc132191256"/>
      <w:bookmarkStart w:id="67" w:name="_Toc28382"/>
      <w:bookmarkStart w:id="68" w:name="_Toc130888004"/>
      <w:bookmarkStart w:id="69" w:name="_Toc128470292"/>
      <w:bookmarkStart w:id="70" w:name="_Toc130661175"/>
      <w:bookmarkStart w:id="71" w:name="_Toc128154365"/>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2"/>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eastAsia="zh-CN"/>
        </w:rPr>
        <w:t>全自动细菌分枝杆菌培养监测系统</w:t>
      </w:r>
      <w:r>
        <w:rPr>
          <w:rFonts w:hint="eastAsia" w:ascii="黑体" w:hAnsi="黑体" w:eastAsia="黑体" w:cs="黑体"/>
          <w:bCs/>
          <w:color w:val="auto"/>
          <w:sz w:val="28"/>
          <w:szCs w:val="28"/>
          <w:highlight w:val="none"/>
          <w:u w:val="single"/>
        </w:rPr>
        <w:t> </w:t>
      </w:r>
    </w:p>
    <w:p>
      <w:pPr>
        <w:numPr>
          <w:ilvl w:val="0"/>
          <w:numId w:val="2"/>
        </w:numPr>
        <w:spacing w:line="360" w:lineRule="auto"/>
        <w:ind w:left="189" w:leftChars="0" w:firstLine="420" w:firstLineChars="0"/>
        <w:rPr>
          <w:rFonts w:hint="default" w:eastAsia="宋体"/>
          <w:bCs/>
          <w:snapToGrid w:val="0"/>
          <w:color w:val="auto"/>
          <w:sz w:val="24"/>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2024-JQ06-W366</w:t>
      </w:r>
      <w:r>
        <w:rPr>
          <w:rFonts w:hint="eastAsia" w:ascii="黑体" w:hAnsi="黑体" w:eastAsia="黑体" w:cs="黑体"/>
          <w:bCs/>
          <w:color w:val="auto"/>
          <w:sz w:val="28"/>
          <w:szCs w:val="28"/>
          <w:highlight w:val="none"/>
          <w:u w:val="single"/>
          <w:lang w:val="en-US" w:eastAsia="zh-CN"/>
        </w:rPr>
        <w:t>2</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2"/>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eastAsia" w:eastAsia="宋体"/>
                <w:bCs/>
                <w:snapToGrid w:val="0"/>
                <w:color w:val="auto"/>
                <w:sz w:val="24"/>
                <w:highlight w:val="none"/>
                <w:lang w:eastAsia="zh-CN"/>
              </w:rPr>
            </w:pPr>
            <w:r>
              <w:rPr>
                <w:rFonts w:hint="eastAsia" w:eastAsia="宋体"/>
                <w:bCs/>
                <w:snapToGrid w:val="0"/>
                <w:color w:val="auto"/>
                <w:sz w:val="24"/>
                <w:highlight w:val="none"/>
                <w:lang w:eastAsia="zh-CN"/>
              </w:rPr>
              <w:t>全自动细菌分枝杆菌培养监测系统</w:t>
            </w:r>
          </w:p>
          <w:p>
            <w:pPr>
              <w:spacing w:line="276" w:lineRule="auto"/>
              <w:jc w:val="center"/>
              <w:rPr>
                <w:rFonts w:hint="default" w:eastAsia="宋体"/>
                <w:bCs/>
                <w:snapToGrid w:val="0"/>
                <w:color w:val="auto"/>
                <w:sz w:val="24"/>
                <w:highlight w:val="none"/>
              </w:rPr>
            </w:pP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default" w:eastAsia="宋体"/>
                <w:bCs/>
                <w:snapToGrid w:val="0"/>
                <w:color w:val="auto"/>
                <w:sz w:val="24"/>
                <w:highlight w:val="none"/>
                <w:lang w:val="en-US" w:eastAsia="zh-CN"/>
              </w:rPr>
            </w:pPr>
            <w:r>
              <w:rPr>
                <w:rFonts w:hint="eastAsia"/>
                <w:bCs/>
                <w:snapToGrid w:val="0"/>
                <w:color w:val="auto"/>
                <w:sz w:val="24"/>
                <w:highlight w:val="none"/>
                <w:lang w:val="en-US" w:eastAsia="zh-CN"/>
              </w:rPr>
              <w:t>台</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2.报价应当包括所有物资供应、运输、安装调试、技术培训、售后服务、备品备件和伴随服务等价格。（或谈判报价仅为物资出厂价，运杂费：</w:t>
            </w:r>
            <w:r>
              <w:rPr>
                <w:rFonts w:hint="eastAsia" w:eastAsia="宋体"/>
                <w:bCs/>
                <w:snapToGrid w:val="0"/>
                <w:color w:val="auto"/>
                <w:sz w:val="24"/>
                <w:highlight w:val="none"/>
                <w:lang w:val="en-US" w:eastAsia="zh-CN"/>
              </w:rPr>
              <w:t>/</w:t>
            </w:r>
            <w:r>
              <w:rPr>
                <w:rFonts w:hint="eastAsia" w:eastAsia="宋体"/>
                <w:bCs/>
                <w:snapToGrid w:val="0"/>
                <w:color w:val="auto"/>
                <w:sz w:val="24"/>
                <w:highlight w:val="none"/>
              </w:rPr>
              <w:t>。）</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45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45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(四)本项目特定资质材料:报价人须提供《医疗器械经营许可证》或经营备案凭。如生产企业（北京生产厂家在北京地区销售产品）仅提供《医疗器械生产许可证》。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5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16 </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5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16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rFonts w:hint="eastAsia"/>
          <w:bCs/>
          <w:color w:val="auto"/>
          <w:sz w:val="28"/>
          <w:szCs w:val="28"/>
          <w:highlight w:val="none"/>
          <w:lang w:val="en-US" w:eastAsia="zh-CN"/>
        </w:rPr>
        <w:t>5</w:t>
      </w:r>
      <w:r>
        <w:rPr>
          <w:bCs/>
          <w:color w:val="auto"/>
          <w:sz w:val="28"/>
          <w:szCs w:val="28"/>
          <w:highlight w:val="none"/>
          <w:u w:val="single"/>
        </w:rPr>
        <w:t xml:space="preserve"> </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16</w:t>
      </w:r>
      <w:bookmarkStart w:id="233" w:name="_GoBack"/>
      <w:bookmarkEnd w:id="233"/>
      <w:r>
        <w:rPr>
          <w:bCs/>
          <w:color w:val="auto"/>
          <w:sz w:val="28"/>
          <w:szCs w:val="28"/>
          <w:highlight w:val="none"/>
          <w:u w:val="single"/>
        </w:rPr>
        <w:t xml:space="preserve">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8" w:type="default"/>
          <w:footerReference r:id="rId9" w:type="default"/>
          <w:pgSz w:w="11906" w:h="16838"/>
          <w:pgMar w:top="1418" w:right="1134"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73" w:name="_Toc128154366"/>
      <w:bookmarkStart w:id="74" w:name="_Toc132191257"/>
      <w:bookmarkStart w:id="75" w:name="_Toc32050"/>
      <w:bookmarkStart w:id="76" w:name="_Toc128470293"/>
      <w:bookmarkStart w:id="77" w:name="_Toc30564"/>
      <w:bookmarkStart w:id="78" w:name="_Toc130888005"/>
      <w:bookmarkStart w:id="79" w:name="_Toc112768491"/>
      <w:bookmarkStart w:id="80" w:name="_Toc112317781"/>
      <w:bookmarkStart w:id="81" w:name="_Toc9692"/>
      <w:bookmarkStart w:id="82" w:name="_Toc130661176"/>
      <w:bookmarkStart w:id="83" w:name="_Toc132186973"/>
      <w:bookmarkStart w:id="84" w:name="_Toc28545"/>
      <w:bookmarkStart w:id="85" w:name="_Toc21632"/>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4"/>
        <w:spacing w:before="0" w:after="0" w:line="560" w:lineRule="exact"/>
        <w:ind w:firstLine="560" w:firstLineChars="200"/>
        <w:rPr>
          <w:rFonts w:ascii="黑体" w:hAnsi="黑体" w:cs="黑体"/>
          <w:b w:val="0"/>
          <w:color w:val="auto"/>
          <w:sz w:val="28"/>
          <w:szCs w:val="28"/>
          <w:highlight w:val="none"/>
        </w:rPr>
      </w:pPr>
      <w:bookmarkStart w:id="86" w:name="_Toc189"/>
      <w:bookmarkStart w:id="87" w:name="_Toc132190633"/>
      <w:bookmarkStart w:id="88" w:name="_Toc130887499"/>
      <w:bookmarkStart w:id="89" w:name="_Toc128150777"/>
      <w:bookmarkStart w:id="90" w:name="_Toc128397969"/>
      <w:bookmarkStart w:id="91" w:name="_Toc30945"/>
      <w:bookmarkStart w:id="92" w:name="_Toc25703"/>
      <w:bookmarkStart w:id="93" w:name="_Toc22387"/>
      <w:bookmarkStart w:id="94" w:name="_Toc128151026"/>
      <w:bookmarkStart w:id="95" w:name="_Toc128150133"/>
      <w:bookmarkStart w:id="96" w:name="_Toc127820563"/>
      <w:bookmarkStart w:id="97" w:name="_Toc128470295"/>
      <w:bookmarkStart w:id="98" w:name="_Toc128154368"/>
      <w:bookmarkStart w:id="99" w:name="_Toc132191259"/>
      <w:bookmarkStart w:id="100" w:name="_Toc130888007"/>
      <w:bookmarkStart w:id="101" w:name="_Toc132186975"/>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86"/>
      <w:bookmarkEnd w:id="87"/>
      <w:bookmarkEnd w:id="88"/>
      <w:bookmarkEnd w:id="89"/>
      <w:bookmarkEnd w:id="90"/>
      <w:bookmarkEnd w:id="91"/>
      <w:bookmarkEnd w:id="92"/>
      <w:bookmarkEnd w:id="93"/>
      <w:bookmarkEnd w:id="94"/>
      <w:bookmarkEnd w:id="95"/>
      <w:bookmarkEnd w:id="96"/>
      <w:r>
        <w:rPr>
          <w:rFonts w:hint="eastAsia"/>
          <w:color w:val="auto"/>
          <w:highlight w:val="none"/>
          <w:lang w:val="en-US" w:eastAsia="zh-CN"/>
        </w:rPr>
        <w:t>（均为实质性响应条款，不接受负偏离）</w:t>
      </w:r>
    </w:p>
    <w:p>
      <w:pPr>
        <w:pStyle w:val="113"/>
        <w:spacing w:line="560" w:lineRule="exact"/>
        <w:ind w:firstLine="560"/>
        <w:rPr>
          <w:rFonts w:hAnsi="宋体"/>
          <w:bCs/>
          <w:color w:val="auto"/>
          <w:sz w:val="28"/>
          <w:szCs w:val="28"/>
          <w:highlight w:val="none"/>
        </w:rPr>
      </w:pPr>
      <w:r>
        <w:rPr>
          <w:rFonts w:hAnsi="宋体"/>
          <w:bCs/>
          <w:color w:val="auto"/>
          <w:sz w:val="28"/>
          <w:szCs w:val="28"/>
          <w:highlight w:val="none"/>
          <w:lang w:val="zh-CN"/>
        </w:rPr>
        <w:t>（一）</w:t>
      </w:r>
      <w:r>
        <w:rPr>
          <w:rFonts w:hAnsi="宋体"/>
          <w:bCs/>
          <w:color w:val="auto"/>
          <w:sz w:val="28"/>
          <w:szCs w:val="28"/>
          <w:highlight w:val="none"/>
        </w:rPr>
        <w:t>交货</w:t>
      </w:r>
      <w:r>
        <w:rPr>
          <w:rFonts w:hint="eastAsia" w:hAnsi="宋体"/>
          <w:bCs/>
          <w:color w:val="auto"/>
          <w:sz w:val="28"/>
          <w:szCs w:val="28"/>
          <w:highlight w:val="none"/>
        </w:rPr>
        <w:t>时间</w:t>
      </w:r>
      <w:r>
        <w:rPr>
          <w:rFonts w:hAnsi="宋体"/>
          <w:bCs/>
          <w:color w:val="auto"/>
          <w:sz w:val="28"/>
          <w:szCs w:val="28"/>
          <w:highlight w:val="none"/>
        </w:rPr>
        <w:t>、地点</w:t>
      </w:r>
      <w:r>
        <w:rPr>
          <w:rFonts w:hint="eastAsia" w:hAnsi="宋体"/>
          <w:bCs/>
          <w:color w:val="auto"/>
          <w:sz w:val="28"/>
          <w:szCs w:val="28"/>
          <w:highlight w:val="none"/>
        </w:rPr>
        <w:t>和方式</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1.</w:t>
      </w:r>
      <w:r>
        <w:rPr>
          <w:rFonts w:hint="eastAsia" w:hAnsi="宋体"/>
          <w:bCs/>
          <w:color w:val="auto"/>
          <w:sz w:val="28"/>
          <w:szCs w:val="28"/>
          <w:highlight w:val="none"/>
        </w:rPr>
        <w:t>交货时间：</w:t>
      </w:r>
      <w:r>
        <w:rPr>
          <w:rFonts w:hint="eastAsia" w:hAnsi="宋体"/>
          <w:bCs/>
          <w:color w:val="auto"/>
          <w:sz w:val="28"/>
          <w:szCs w:val="28"/>
          <w:highlight w:val="none"/>
          <w:u w:val="single"/>
          <w:lang w:eastAsia="zh-CN"/>
        </w:rPr>
        <w:t>合同签订后</w:t>
      </w:r>
      <w:r>
        <w:rPr>
          <w:rFonts w:hint="eastAsia" w:hAnsi="宋体"/>
          <w:bCs/>
          <w:color w:val="auto"/>
          <w:sz w:val="28"/>
          <w:szCs w:val="28"/>
          <w:highlight w:val="none"/>
          <w:u w:val="single"/>
          <w:lang w:val="en-US" w:eastAsia="zh-CN"/>
        </w:rPr>
        <w:t>三个月内交付</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2.</w:t>
      </w:r>
      <w:r>
        <w:rPr>
          <w:rFonts w:hint="eastAsia" w:hAnsi="宋体"/>
          <w:bCs/>
          <w:color w:val="auto"/>
          <w:sz w:val="28"/>
          <w:szCs w:val="28"/>
          <w:highlight w:val="none"/>
        </w:rPr>
        <w:t>交货地点：</w:t>
      </w:r>
      <w:r>
        <w:rPr>
          <w:rFonts w:hint="eastAsia" w:hAnsi="宋体"/>
          <w:bCs/>
          <w:color w:val="auto"/>
          <w:sz w:val="28"/>
          <w:szCs w:val="28"/>
          <w:highlight w:val="none"/>
          <w:u w:val="single"/>
          <w:lang w:val="en-US" w:eastAsia="zh-CN"/>
        </w:rPr>
        <w:t>由</w:t>
      </w:r>
      <w:r>
        <w:rPr>
          <w:rFonts w:hint="eastAsia" w:hAnsi="宋体"/>
          <w:bCs/>
          <w:color w:val="auto"/>
          <w:sz w:val="28"/>
          <w:szCs w:val="28"/>
          <w:highlight w:val="none"/>
          <w:u w:val="single"/>
          <w:lang w:eastAsia="zh-CN"/>
        </w:rPr>
        <w:t>甲方指定</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3.</w:t>
      </w:r>
      <w:r>
        <w:rPr>
          <w:rFonts w:hint="eastAsia" w:hAnsi="宋体"/>
          <w:bCs/>
          <w:color w:val="auto"/>
          <w:sz w:val="28"/>
          <w:szCs w:val="28"/>
          <w:highlight w:val="none"/>
        </w:rPr>
        <w:t>交货方式：</w:t>
      </w:r>
      <w:r>
        <w:rPr>
          <w:rFonts w:hint="eastAsia" w:hAnsi="宋体"/>
          <w:bCs/>
          <w:color w:val="auto"/>
          <w:sz w:val="28"/>
          <w:szCs w:val="28"/>
          <w:highlight w:val="none"/>
          <w:u w:val="single"/>
          <w:lang w:val="en-US" w:eastAsia="zh-CN"/>
        </w:rPr>
        <w:t xml:space="preserve">由甲方指定 </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hint="eastAsia" w:hAnsi="宋体"/>
          <w:bCs/>
          <w:color w:val="auto"/>
          <w:sz w:val="28"/>
          <w:szCs w:val="28"/>
          <w:highlight w:val="none"/>
          <w:lang w:val="en-US" w:eastAsia="zh-CN"/>
        </w:rPr>
        <w:t>★</w:t>
      </w:r>
      <w:r>
        <w:rPr>
          <w:rFonts w:hAnsi="宋体"/>
          <w:bCs/>
          <w:color w:val="auto"/>
          <w:sz w:val="28"/>
          <w:szCs w:val="28"/>
          <w:highlight w:val="none"/>
          <w:lang w:val="zh-CN"/>
        </w:rPr>
        <w:t>（二）</w:t>
      </w:r>
      <w:r>
        <w:rPr>
          <w:rFonts w:hint="eastAsia" w:hAnsi="宋体"/>
          <w:bCs/>
          <w:color w:val="auto"/>
          <w:sz w:val="28"/>
          <w:szCs w:val="28"/>
          <w:highlight w:val="none"/>
        </w:rPr>
        <w:t>产品包装和运输要求</w:t>
      </w:r>
      <w:r>
        <w:rPr>
          <w:rFonts w:hint="eastAsia" w:hAnsi="宋体"/>
          <w:bCs/>
          <w:color w:val="auto"/>
          <w:sz w:val="28"/>
          <w:szCs w:val="28"/>
          <w:highlight w:val="none"/>
          <w:lang w:val="en-US" w:eastAsia="zh-CN"/>
        </w:rPr>
        <w:t>（企业承诺）</w:t>
      </w:r>
    </w:p>
    <w:p>
      <w:pPr>
        <w:pStyle w:val="113"/>
        <w:spacing w:line="560" w:lineRule="exact"/>
        <w:ind w:firstLine="560"/>
        <w:rPr>
          <w:rFonts w:hAnsi="宋体"/>
          <w:bCs/>
          <w:color w:val="auto"/>
          <w:sz w:val="28"/>
          <w:szCs w:val="28"/>
          <w:highlight w:val="none"/>
        </w:rPr>
      </w:pPr>
      <w:r>
        <w:rPr>
          <w:rFonts w:hint="eastAsia" w:hAnsi="宋体"/>
          <w:bCs/>
          <w:color w:val="auto"/>
          <w:sz w:val="28"/>
          <w:szCs w:val="28"/>
          <w:highlight w:val="none"/>
          <w:u w:val="single"/>
          <w:lang w:eastAsia="zh-CN"/>
        </w:rPr>
        <w:t>按照国家、行业的相关标准规范，产品确保包装完好，运输确保不对产品造成损伤</w:t>
      </w:r>
      <w:r>
        <w:rPr>
          <w:rFonts w:hint="eastAsia" w:hAnsi="宋体"/>
          <w:bCs/>
          <w:color w:val="auto"/>
          <w:sz w:val="28"/>
          <w:szCs w:val="28"/>
          <w:highlight w:val="none"/>
        </w:rPr>
        <w:t>。</w:t>
      </w:r>
    </w:p>
    <w:p>
      <w:pPr>
        <w:pStyle w:val="113"/>
        <w:spacing w:line="560" w:lineRule="exact"/>
        <w:ind w:firstLine="560"/>
        <w:rPr>
          <w:rFonts w:hint="eastAsia" w:hAnsi="宋体" w:eastAsia="宋体"/>
          <w:bCs/>
          <w:color w:val="auto"/>
          <w:sz w:val="28"/>
          <w:szCs w:val="28"/>
          <w:highlight w:val="none"/>
          <w:lang w:val="en-US" w:eastAsia="zh-CN"/>
        </w:rPr>
      </w:pPr>
      <w:r>
        <w:rPr>
          <w:rFonts w:hint="eastAsia" w:hAnsi="宋体"/>
          <w:bCs/>
          <w:color w:val="auto"/>
          <w:sz w:val="28"/>
          <w:szCs w:val="28"/>
          <w:highlight w:val="none"/>
          <w:lang w:val="en-US" w:eastAsia="zh-CN"/>
        </w:rPr>
        <w:t>★</w:t>
      </w:r>
      <w:r>
        <w:rPr>
          <w:rFonts w:hint="eastAsia" w:hAnsi="宋体"/>
          <w:bCs/>
          <w:color w:val="auto"/>
          <w:sz w:val="28"/>
          <w:szCs w:val="28"/>
          <w:highlight w:val="none"/>
        </w:rPr>
        <w:t>（三）售后服务</w:t>
      </w:r>
      <w:r>
        <w:rPr>
          <w:rFonts w:hint="eastAsia" w:hAnsi="宋体"/>
          <w:bCs/>
          <w:color w:val="auto"/>
          <w:sz w:val="28"/>
          <w:szCs w:val="28"/>
          <w:highlight w:val="none"/>
          <w:lang w:val="en-US" w:eastAsia="zh-CN"/>
        </w:rPr>
        <w:t>（企业承诺）</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 付款及结算方式 物资到货（服务完成）验收后付95%。</w:t>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★2 履约保证金/质量保证金 验收合格后满一年无质量问题支付剩余5%。</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★3 售后服务1（质保）保修年限不低于三年，全年故障停机时间不高于5%（按365日/年计算)。（原厂授权或企业承诺）</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 xml:space="preserve">                  </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★4 售后服务2（质保）保修期内免费提供定期维护保养服务，免费升级和维护软件，免费提供使用培训。</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p>
    <w:p>
      <w:pPr>
        <w:pStyle w:val="113"/>
        <w:spacing w:line="560" w:lineRule="exact"/>
        <w:ind w:left="0" w:leftChars="0" w:firstLine="560" w:firstLineChars="200"/>
        <w:rPr>
          <w:rFonts w:hint="default"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★5 售后服务3（响应时间）维修响应时间≤4小时，京内维修到达现场时间≤12小时，京外维修到达现场时间≤48小时。</w:t>
      </w:r>
    </w:p>
    <w:p>
      <w:pPr>
        <w:pStyle w:val="113"/>
        <w:spacing w:line="560" w:lineRule="exact"/>
        <w:ind w:firstLine="560"/>
        <w:rPr>
          <w:rFonts w:hint="default"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★6备品备件要求（零配件）由供应商承诺项目使用寿命周期内保证零配件供应。</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★7</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物资编目编码、打码贴签要求</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本项目对物资的编目编码、打码贴签要求，报价供应商应当予以明确响应，相关费用包含在报价中。</w:t>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★8 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企业在领取成交通知书前，设备及耗材最终谈判报价按附件</w:t>
      </w:r>
      <w:r>
        <w:rPr>
          <w:rFonts w:hint="eastAsia" w:ascii="宋体" w:hAnsi="宋体" w:eastAsia="宋体" w:cs="Times New Roman"/>
          <w:bCs/>
          <w:color w:val="auto"/>
          <w:kern w:val="2"/>
          <w:sz w:val="28"/>
          <w:szCs w:val="28"/>
          <w:highlight w:val="none"/>
          <w:lang w:val="en-US" w:eastAsia="zh-CN" w:bidi="ar-SA"/>
        </w:rPr>
        <w:t>1、2、3内容重新组价并签字盖章。</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4"/>
        <w:spacing w:before="0" w:after="0" w:line="560" w:lineRule="exact"/>
        <w:ind w:firstLine="560" w:firstLineChars="200"/>
        <w:rPr>
          <w:rFonts w:hint="eastAsia" w:ascii="黑体" w:hAnsi="黑体" w:cs="黑体"/>
          <w:b w:val="0"/>
          <w:color w:val="auto"/>
          <w:sz w:val="28"/>
          <w:szCs w:val="28"/>
          <w:highlight w:val="none"/>
        </w:rPr>
        <w:sectPr>
          <w:headerReference r:id="rId12" w:type="first"/>
          <w:headerReference r:id="rId10" w:type="default"/>
          <w:footerReference r:id="rId13" w:type="default"/>
          <w:headerReference r:id="rId11" w:type="even"/>
          <w:pgSz w:w="11906" w:h="16838"/>
          <w:pgMar w:top="1418" w:right="1134" w:bottom="1418" w:left="1418" w:header="851" w:footer="992" w:gutter="0"/>
          <w:pgNumType w:fmt="decimal"/>
          <w:cols w:space="720" w:num="1"/>
          <w:docGrid w:linePitch="312" w:charSpace="0"/>
        </w:sectPr>
      </w:pPr>
    </w:p>
    <w:p>
      <w:pPr>
        <w:pStyle w:val="4"/>
        <w:spacing w:before="0" w:after="0" w:line="560" w:lineRule="exact"/>
        <w:ind w:firstLine="560" w:firstLineChars="200"/>
        <w:rPr>
          <w:rFonts w:ascii="黑体" w:hAnsi="黑体" w:cs="黑体"/>
          <w:b w:val="0"/>
          <w:color w:val="auto"/>
          <w:sz w:val="28"/>
          <w:szCs w:val="28"/>
          <w:highlight w:val="none"/>
        </w:rPr>
      </w:pPr>
      <w:r>
        <w:rPr>
          <w:rFonts w:hint="eastAsia" w:ascii="黑体" w:hAnsi="黑体" w:cs="黑体"/>
          <w:b w:val="0"/>
          <w:color w:val="auto"/>
          <w:sz w:val="28"/>
          <w:szCs w:val="28"/>
          <w:highlight w:val="none"/>
        </w:rPr>
        <w:t>二、技术要求</w:t>
      </w:r>
      <w:bookmarkEnd w:id="97"/>
      <w:bookmarkEnd w:id="98"/>
      <w:bookmarkEnd w:id="99"/>
      <w:bookmarkEnd w:id="100"/>
      <w:bookmarkEnd w:id="101"/>
    </w:p>
    <w:tbl>
      <w:tblPr>
        <w:tblStyle w:val="41"/>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674"/>
        <w:gridCol w:w="674"/>
        <w:gridCol w:w="1080"/>
        <w:gridCol w:w="1080"/>
        <w:gridCol w:w="1080"/>
        <w:gridCol w:w="1080"/>
        <w:gridCol w:w="1080"/>
        <w:gridCol w:w="65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5" w:hRule="atLeast"/>
        </w:trPr>
        <w:tc>
          <w:tcPr>
            <w:tcW w:w="9563" w:type="dxa"/>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175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2834"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2024-JQ06-W3662</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全自动细菌分枝杆菌培养监测系统</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45（1套）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2" w:hRule="atLeast"/>
        </w:trPr>
        <w:tc>
          <w:tcPr>
            <w:tcW w:w="175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834"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216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324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适用于血液和其他无菌体液中细菌、真菌、分枝杆菌的培养和检测</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具备NMPA（CFDA）认证，同时具备FDA和CE认证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认证材料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9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检测原理</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采用非侵入式显色连续检测法</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仪器通量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具备≥240个血培养装载孔位，无需增加单独的控制模块既可实现血培养孔位扩容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温度设置</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具备内置温度和显示温度校正功能，恒温可在（25-45）℃宽范围内调整</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培养瓶</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培养瓶种类至少包括标准需氧瓶、标准厌氧瓶、中和抗生素需氧瓶、中和抗生素厌氧瓶、中和抗生素儿童瓶、痰及体液结核瓶</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软件系统</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可提供培养瓶状态查看、曲线查看、温度修改设置、培养瓶信息编辑、数据导出等功能</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培养瓶类型</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聚合碳纤维塑料瓶，负压设计，耐高压、防爆裂、适用于气动样本传输系统</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培养能力</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所有需氧培养瓶都能同时培养细菌、真菌，不需要单独的真菌瓶即可保证真菌培养，并提供细菌和真菌同时培养的培养瓶注册证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相关证明材料和注册证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10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抗生素吸附能力</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中和抗生素需氧瓶、中和抗生素厌氧瓶都具备抗生素吸附功能，血培养瓶能够吸附碳青霉烯类抗生素</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相关证明材料不限于第三方检测报告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结果提示功能</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对阴阳性培养结果自动检测和提示，能提供远距离可视化以及声音图形等相关警报信息提示，支持远程智能警报系统</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预报阴功能</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不通过lis等第三方软件，自身具备血培养3天预报阴功能</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统计功能</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可直接与实验室现有质谱连接，无须通过LIS等第三方软件，以实现血培养污染率、阳性率、报阳时间等数据的实时统计</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全自动细菌分枝杆菌培养监测系统1套</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封闭耗材（试剂）</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9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135" w:type="dxa"/>
            <w:gridSpan w:val="7"/>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▲标识的指标和“无标识”指标负偏离≥4项，投标企业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32"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18"/>
                <w:szCs w:val="18"/>
                <w:u w:val="none"/>
                <w:lang w:val="en-US" w:eastAsia="zh-CN" w:bidi="ar"/>
              </w:rPr>
              <w:t>”号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w:t>
            </w:r>
            <w:r>
              <w:rPr>
                <w:rFonts w:hint="eastAsia" w:ascii="宋体" w:hAnsi="宋体" w:cs="宋体"/>
                <w:i w:val="0"/>
                <w:color w:val="000000"/>
                <w:kern w:val="0"/>
                <w:sz w:val="18"/>
                <w:szCs w:val="18"/>
                <w:u w:val="none"/>
                <w:lang w:val="en-US" w:eastAsia="zh-CN" w:bidi="ar"/>
              </w:rPr>
              <w:t>报价人</w:t>
            </w:r>
            <w:r>
              <w:rPr>
                <w:rFonts w:hint="eastAsia" w:ascii="宋体" w:hAnsi="宋体" w:eastAsia="宋体" w:cs="宋体"/>
                <w:i w:val="0"/>
                <w:color w:val="000000"/>
                <w:kern w:val="0"/>
                <w:sz w:val="18"/>
                <w:szCs w:val="18"/>
                <w:u w:val="none"/>
                <w:lang w:val="en-US" w:eastAsia="zh-CN" w:bidi="ar"/>
              </w:rPr>
              <w:t>响应承诺为准。</w:t>
            </w:r>
          </w:p>
        </w:tc>
      </w:tr>
    </w:tbl>
    <w:p>
      <w:pPr>
        <w:widowControl/>
        <w:snapToGrid w:val="0"/>
        <w:spacing w:line="560" w:lineRule="exact"/>
        <w:ind w:firstLine="560" w:firstLineChars="200"/>
        <w:jc w:val="left"/>
        <w:rPr>
          <w:rFonts w:ascii="宋体" w:hAnsi="宋体"/>
          <w:bCs/>
          <w:snapToGrid w:val="0"/>
          <w:sz w:val="28"/>
          <w:szCs w:val="28"/>
          <w:highlight w:val="none"/>
        </w:rPr>
      </w:pPr>
    </w:p>
    <w:p>
      <w:pPr>
        <w:shd w:val="clear"/>
        <w:tabs>
          <w:tab w:val="left" w:pos="0"/>
        </w:tabs>
        <w:spacing w:line="560" w:lineRule="atLeast"/>
        <w:ind w:firstLine="562" w:firstLineChars="200"/>
        <w:rPr>
          <w:rFonts w:hint="eastAsia"/>
          <w:b/>
          <w:sz w:val="28"/>
          <w:szCs w:val="28"/>
          <w:highlight w:val="none"/>
          <w:lang w:val="en-US" w:eastAsia="zh-CN"/>
        </w:rPr>
      </w:pPr>
      <w:r>
        <w:rPr>
          <w:rFonts w:hint="eastAsia"/>
          <w:b/>
          <w:sz w:val="28"/>
          <w:szCs w:val="28"/>
          <w:highlight w:val="none"/>
          <w:lang w:val="en-US" w:eastAsia="zh-CN"/>
        </w:rPr>
        <w:t>耗材/试剂参数表：</w:t>
      </w:r>
    </w:p>
    <w:p>
      <w:pPr>
        <w:pStyle w:val="16"/>
        <w:rPr>
          <w:rFonts w:hint="eastAsia"/>
          <w:highlight w:val="none"/>
          <w:lang w:val="en-US" w:eastAsia="zh-CN"/>
        </w:rPr>
      </w:pPr>
    </w:p>
    <w:tbl>
      <w:tblPr>
        <w:tblStyle w:val="41"/>
        <w:tblW w:w="9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75"/>
        <w:gridCol w:w="1878"/>
        <w:gridCol w:w="1233"/>
        <w:gridCol w:w="917"/>
        <w:gridCol w:w="1083"/>
        <w:gridCol w:w="717"/>
        <w:gridCol w:w="20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9361"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14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3111"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全自动细菌分枝杆菌培养监测系统</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p>
        </w:tc>
        <w:tc>
          <w:tcPr>
            <w:tcW w:w="917"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项目编号</w:t>
            </w:r>
          </w:p>
        </w:tc>
        <w:tc>
          <w:tcPr>
            <w:tcW w:w="3858"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2024-JQ06-W3662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98" w:hRule="atLeast"/>
        </w:trPr>
        <w:tc>
          <w:tcPr>
            <w:tcW w:w="147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描述</w:t>
            </w:r>
          </w:p>
        </w:tc>
        <w:tc>
          <w:tcPr>
            <w:tcW w:w="7886" w:type="dxa"/>
            <w:gridSpan w:val="6"/>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耗材（开展项目）名称</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※规格</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预估2年用量</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计量单位</w:t>
            </w:r>
          </w:p>
        </w:tc>
        <w:tc>
          <w:tcPr>
            <w:tcW w:w="7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最高限价（万元）</w:t>
            </w:r>
          </w:p>
        </w:tc>
        <w:tc>
          <w:tcPr>
            <w:tcW w:w="2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1 </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需氧和兼性厌氧微生</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物培养瓶</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27000 </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瓶</w:t>
            </w:r>
          </w:p>
        </w:tc>
        <w:tc>
          <w:tcPr>
            <w:tcW w:w="7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135 </w:t>
            </w:r>
          </w:p>
        </w:tc>
        <w:tc>
          <w:tcPr>
            <w:tcW w:w="2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7"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2 </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厌氧和兼性厌氧微生</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物培养瓶</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27000 </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瓶</w:t>
            </w:r>
          </w:p>
        </w:tc>
        <w:tc>
          <w:tcPr>
            <w:tcW w:w="7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140 </w:t>
            </w:r>
          </w:p>
        </w:tc>
        <w:tc>
          <w:tcPr>
            <w:tcW w:w="2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3 </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需氧和兼性厌氧微生</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物培养瓶（儿童用）</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27000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瓶</w:t>
            </w:r>
          </w:p>
        </w:tc>
        <w:tc>
          <w:tcPr>
            <w:tcW w:w="7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129 </w:t>
            </w:r>
          </w:p>
        </w:tc>
        <w:tc>
          <w:tcPr>
            <w:tcW w:w="2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bl>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说明：1.所投产品提供的耗材/试剂按医疗器械管理的，须提供相应的医疗器械注册证或备案凭证；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798" w:leftChars="285" w:right="0" w:rightChars="0" w:hanging="200" w:hangingChars="10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2.所投产品，需报价人根据设备配套情况全规格型号报价，</w:t>
      </w:r>
      <w:r>
        <w:rPr>
          <w:rFonts w:hint="default" w:ascii="等线" w:hAnsi="等线" w:eastAsia="等线" w:cs="等线"/>
          <w:i w:val="0"/>
          <w:color w:val="000000"/>
          <w:kern w:val="0"/>
          <w:sz w:val="20"/>
          <w:szCs w:val="20"/>
          <w:highlight w:val="none"/>
          <w:u w:val="none"/>
          <w:lang w:val="en-US" w:eastAsia="zh-CN" w:bidi="ar"/>
        </w:rPr>
        <w:t>开放耗材和不明确的封闭耗材</w:t>
      </w:r>
      <w:r>
        <w:rPr>
          <w:rFonts w:hint="eastAsia" w:ascii="等线" w:hAnsi="等线" w:eastAsia="等线" w:cs="等线"/>
          <w:i w:val="0"/>
          <w:color w:val="000000"/>
          <w:kern w:val="0"/>
          <w:sz w:val="20"/>
          <w:szCs w:val="20"/>
          <w:highlight w:val="none"/>
          <w:u w:val="none"/>
          <w:lang w:val="en-US" w:eastAsia="zh-CN" w:bidi="ar"/>
        </w:rPr>
        <w:t>/试剂</w:t>
      </w:r>
      <w:r>
        <w:rPr>
          <w:rFonts w:hint="default" w:ascii="等线" w:hAnsi="等线" w:eastAsia="等线" w:cs="等线"/>
          <w:i w:val="0"/>
          <w:color w:val="000000"/>
          <w:kern w:val="0"/>
          <w:sz w:val="20"/>
          <w:szCs w:val="20"/>
          <w:highlight w:val="none"/>
          <w:u w:val="none"/>
          <w:lang w:val="en-US" w:eastAsia="zh-CN" w:bidi="ar"/>
        </w:rPr>
        <w:t>，不参与评分，只填写耗材价格构成表</w:t>
      </w:r>
      <w:r>
        <w:rPr>
          <w:rFonts w:hint="eastAsia" w:ascii="等线" w:hAnsi="等线" w:eastAsia="等线" w:cs="等线"/>
          <w:i w:val="0"/>
          <w:color w:val="000000"/>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600" w:firstLineChars="300"/>
        <w:jc w:val="left"/>
        <w:textAlignment w:val="center"/>
        <w:outlineLvl w:val="9"/>
        <w:rPr>
          <w:rFonts w:hint="eastAsia" w:ascii="等线" w:hAnsi="等线" w:eastAsia="宋体"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3.耗材/试剂为解放军总医院目录内产品，须一同报价，并按照就低原则同步调价</w:t>
      </w:r>
      <w:r>
        <w:rPr>
          <w:rFonts w:hint="eastAsia" w:ascii="等线" w:hAnsi="等线" w:eastAsia="宋体" w:cs="等线"/>
          <w:i w:val="0"/>
          <w:color w:val="000000"/>
          <w:kern w:val="0"/>
          <w:sz w:val="20"/>
          <w:szCs w:val="20"/>
          <w:highlight w:val="none"/>
          <w:u w:val="none"/>
          <w:lang w:val="en-US" w:eastAsia="zh-CN" w:bidi="ar"/>
        </w:rPr>
        <w:t>。</w:t>
      </w:r>
    </w:p>
    <w:p>
      <w:pPr>
        <w:pStyle w:val="16"/>
        <w:rPr>
          <w:rFonts w:hint="eastAsia"/>
          <w:lang w:val="en-US" w:eastAsia="zh-CN"/>
        </w:rPr>
        <w:sectPr>
          <w:footerReference r:id="rId14" w:type="default"/>
          <w:pgSz w:w="11906" w:h="16838"/>
          <w:pgMar w:top="1418" w:right="1134" w:bottom="1418" w:left="1418" w:header="851" w:footer="992" w:gutter="0"/>
          <w:pgNumType w:fmt="decimal"/>
          <w:cols w:space="720" w:num="1"/>
          <w:docGrid w:linePitch="312" w:charSpace="0"/>
        </w:sectPr>
      </w:pPr>
    </w:p>
    <w:p>
      <w:pPr>
        <w:rPr>
          <w:rFonts w:hint="eastAsia"/>
          <w:lang w:val="en-US" w:eastAsia="zh-CN"/>
        </w:rPr>
      </w:pPr>
    </w:p>
    <w:p>
      <w:pPr>
        <w:pStyle w:val="3"/>
        <w:keepNext w:val="0"/>
        <w:keepLines w:val="0"/>
        <w:adjustRightInd w:val="0"/>
        <w:snapToGrid w:val="0"/>
        <w:spacing w:line="560" w:lineRule="exact"/>
        <w:jc w:val="center"/>
        <w:rPr>
          <w:b w:val="0"/>
          <w:szCs w:val="44"/>
          <w:highlight w:val="none"/>
          <w:lang w:val="zh-CN"/>
        </w:rPr>
      </w:pPr>
      <w:bookmarkStart w:id="102" w:name="_Toc17172"/>
      <w:bookmarkStart w:id="103" w:name="_Toc7226"/>
      <w:bookmarkStart w:id="104" w:name="_Toc112768494"/>
      <w:bookmarkStart w:id="105" w:name="_Toc31554"/>
      <w:bookmarkStart w:id="106" w:name="_Toc27977"/>
      <w:bookmarkStart w:id="107" w:name="_Toc2550"/>
      <w:bookmarkStart w:id="108" w:name="_Toc130661177"/>
      <w:bookmarkStart w:id="109" w:name="_Toc128154369"/>
      <w:bookmarkStart w:id="110" w:name="_Toc128470296"/>
      <w:bookmarkStart w:id="111" w:name="_Toc132186976"/>
      <w:bookmarkStart w:id="112" w:name="_Toc130888008"/>
      <w:bookmarkStart w:id="113" w:name="_Toc132191260"/>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6"/>
        <w:spacing w:before="156" w:after="156"/>
        <w:ind w:firstLine="420"/>
        <w:rPr>
          <w:highlight w:val="none"/>
        </w:rPr>
      </w:pPr>
    </w:p>
    <w:p>
      <w:pPr>
        <w:spacing w:before="156" w:after="156"/>
        <w:rPr>
          <w:highlight w:val="none"/>
        </w:rPr>
      </w:pPr>
    </w:p>
    <w:p>
      <w:pPr>
        <w:pStyle w:val="16"/>
        <w:spacing w:before="156" w:after="156"/>
        <w:rPr>
          <w:highlight w:val="none"/>
        </w:rPr>
      </w:pPr>
    </w:p>
    <w:p>
      <w:pPr>
        <w:spacing w:before="156" w:after="156"/>
        <w:ind w:firstLine="420"/>
        <w:rPr>
          <w:highlight w:val="none"/>
        </w:rPr>
      </w:pPr>
    </w:p>
    <w:p>
      <w:pPr>
        <w:pStyle w:val="16"/>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6"/>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6"/>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6"/>
        <w:spacing w:before="156" w:after="156"/>
        <w:ind w:firstLine="1638"/>
        <w:rPr>
          <w:color w:val="auto"/>
          <w:highlight w:val="none"/>
        </w:rPr>
      </w:pPr>
    </w:p>
    <w:p>
      <w:pPr>
        <w:pStyle w:val="16"/>
        <w:spacing w:before="156" w:after="156"/>
        <w:ind w:firstLine="1638"/>
        <w:rPr>
          <w:color w:val="auto"/>
          <w:sz w:val="32"/>
          <w:szCs w:val="32"/>
          <w:highlight w:val="none"/>
        </w:rPr>
      </w:pPr>
    </w:p>
    <w:p>
      <w:pPr>
        <w:pStyle w:val="16"/>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6"/>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4"/>
        <w:spacing w:before="0" w:after="0" w:line="560" w:lineRule="exact"/>
        <w:ind w:firstLine="560" w:firstLineChars="200"/>
        <w:rPr>
          <w:rFonts w:ascii="黑体" w:hAnsi="黑体" w:cs="黑体"/>
          <w:b w:val="0"/>
          <w:sz w:val="28"/>
          <w:szCs w:val="28"/>
          <w:highlight w:val="none"/>
        </w:rPr>
      </w:pPr>
      <w:bookmarkStart w:id="114" w:name="_Toc130888009"/>
      <w:bookmarkStart w:id="115" w:name="_Toc132191261"/>
      <w:bookmarkStart w:id="116" w:name="_Toc128470297"/>
      <w:bookmarkStart w:id="117" w:name="_Toc132186977"/>
      <w:bookmarkStart w:id="118" w:name="_Toc9762"/>
      <w:bookmarkStart w:id="119" w:name="_Toc25715"/>
      <w:bookmarkStart w:id="120" w:name="_Toc112768495"/>
      <w:bookmarkStart w:id="121" w:name="_Toc20706"/>
      <w:bookmarkStart w:id="122" w:name="_Toc20638"/>
      <w:bookmarkStart w:id="123" w:name="_Toc15775"/>
      <w:bookmarkStart w:id="124" w:name="_Toc128154370"/>
      <w:bookmarkStart w:id="125" w:name="_Toc130661178"/>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126" w:name="_Toc112768496"/>
      <w:bookmarkStart w:id="127" w:name="_Toc21913"/>
      <w:bookmarkStart w:id="128" w:name="_Toc3957"/>
      <w:bookmarkStart w:id="129" w:name="_Toc130661179"/>
      <w:bookmarkStart w:id="130" w:name="_Toc12507"/>
      <w:bookmarkStart w:id="131" w:name="_Toc7592"/>
      <w:bookmarkStart w:id="132" w:name="_Toc22250"/>
      <w:bookmarkStart w:id="133" w:name="_Toc128154371"/>
      <w:bookmarkStart w:id="134" w:name="_Toc128470298"/>
      <w:bookmarkStart w:id="135" w:name="_Toc7039"/>
      <w:bookmarkStart w:id="136" w:name="_Toc28273"/>
      <w:bookmarkStart w:id="137" w:name="_Toc130888010"/>
      <w:bookmarkStart w:id="138" w:name="_Toc132191262"/>
      <w:bookmarkStart w:id="139" w:name="_Toc9283"/>
      <w:bookmarkStart w:id="140" w:name="_Toc2697"/>
      <w:bookmarkStart w:id="141" w:name="_Toc132186978"/>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1"/>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4"/>
        <w:spacing w:before="0" w:after="0" w:line="560" w:lineRule="exact"/>
        <w:ind w:firstLine="560" w:firstLineChars="200"/>
        <w:rPr>
          <w:rFonts w:ascii="黑体" w:hAnsi="黑体" w:cs="黑体"/>
          <w:b w:val="0"/>
          <w:color w:val="auto"/>
          <w:sz w:val="28"/>
          <w:szCs w:val="28"/>
          <w:highlight w:val="none"/>
        </w:rPr>
      </w:pPr>
      <w:bookmarkStart w:id="142" w:name="_Toc130888011"/>
      <w:bookmarkStart w:id="143" w:name="_Toc128470299"/>
      <w:bookmarkStart w:id="144" w:name="_Toc31837"/>
      <w:bookmarkStart w:id="145" w:name="_Toc15844"/>
      <w:bookmarkStart w:id="146" w:name="_Toc7115"/>
      <w:bookmarkStart w:id="147" w:name="_Toc23995"/>
      <w:bookmarkStart w:id="148" w:name="_Toc12001"/>
      <w:bookmarkStart w:id="149" w:name="_Toc112768497"/>
      <w:bookmarkStart w:id="150" w:name="_Toc2301"/>
      <w:bookmarkStart w:id="151" w:name="_Toc19051"/>
      <w:bookmarkStart w:id="152" w:name="_Toc130661180"/>
      <w:bookmarkStart w:id="153" w:name="_Toc128154372"/>
      <w:bookmarkStart w:id="154" w:name="_Toc132186979"/>
      <w:bookmarkStart w:id="155" w:name="_Toc23458"/>
      <w:bookmarkStart w:id="156" w:name="_Toc132191263"/>
      <w:bookmarkStart w:id="157" w:name="_Toc18208"/>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sz w:val="28"/>
          <w:szCs w:val="28"/>
          <w:highlight w:val="none"/>
        </w:rPr>
      </w:pPr>
      <w:bookmarkStart w:id="158" w:name="_Toc121216200"/>
      <w:bookmarkStart w:id="159" w:name="_Toc130888012"/>
      <w:bookmarkStart w:id="160" w:name="_Toc128154373"/>
      <w:bookmarkStart w:id="161" w:name="_Toc132191264"/>
      <w:bookmarkStart w:id="162" w:name="_Toc130661181"/>
      <w:bookmarkStart w:id="163" w:name="_Toc128470300"/>
      <w:bookmarkStart w:id="164" w:name="_Toc132186980"/>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4"/>
        <w:spacing w:before="0" w:after="0" w:line="560" w:lineRule="exact"/>
        <w:ind w:firstLine="560" w:firstLineChars="200"/>
        <w:rPr>
          <w:rFonts w:ascii="黑体" w:hAnsi="黑体" w:cs="黑体"/>
          <w:b w:val="0"/>
          <w:sz w:val="28"/>
          <w:szCs w:val="28"/>
          <w:highlight w:val="none"/>
        </w:rPr>
      </w:pPr>
      <w:bookmarkStart w:id="165" w:name="_Toc130888013"/>
      <w:bookmarkStart w:id="166" w:name="_Toc128154374"/>
      <w:bookmarkStart w:id="167" w:name="_Toc132191265"/>
      <w:bookmarkStart w:id="168" w:name="_Toc128470301"/>
      <w:bookmarkStart w:id="169" w:name="_Toc132186981"/>
      <w:bookmarkStart w:id="170" w:name="_Toc130661182"/>
      <w:bookmarkStart w:id="171" w:name="_Toc121216201"/>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28470302"/>
      <w:bookmarkStart w:id="173" w:name="_Toc130661183"/>
      <w:bookmarkStart w:id="174" w:name="_Toc132191266"/>
      <w:bookmarkStart w:id="175" w:name="_Toc130888014"/>
      <w:bookmarkStart w:id="176" w:name="_Toc128154375"/>
      <w:bookmarkStart w:id="177" w:name="_Toc132186982"/>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6"/>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4"/>
        <w:spacing w:before="0" w:after="0" w:line="560" w:lineRule="exact"/>
        <w:ind w:firstLine="560" w:firstLineChars="200"/>
        <w:rPr>
          <w:rFonts w:ascii="黑体" w:hAnsi="黑体" w:cs="黑体"/>
          <w:b w:val="0"/>
          <w:sz w:val="28"/>
          <w:szCs w:val="28"/>
          <w:highlight w:val="none"/>
        </w:rPr>
      </w:pPr>
      <w:bookmarkStart w:id="178" w:name="_Toc130888015"/>
      <w:bookmarkStart w:id="179" w:name="_Toc128154376"/>
      <w:bookmarkStart w:id="180" w:name="_Toc132191267"/>
      <w:bookmarkStart w:id="181" w:name="_Toc132186983"/>
      <w:bookmarkStart w:id="182" w:name="_Toc130661184"/>
      <w:bookmarkStart w:id="183" w:name="_Toc128470303"/>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24432"/>
      <w:bookmarkStart w:id="185" w:name="_Toc130888016"/>
      <w:bookmarkStart w:id="186" w:name="_Toc128470304"/>
      <w:bookmarkStart w:id="187" w:name="_Toc112768500"/>
      <w:bookmarkStart w:id="188" w:name="_Toc996"/>
      <w:bookmarkStart w:id="189" w:name="_Toc130661185"/>
      <w:bookmarkStart w:id="190" w:name="_Toc26597"/>
      <w:bookmarkStart w:id="191" w:name="_Toc128154377"/>
      <w:bookmarkStart w:id="192" w:name="_Toc15635"/>
      <w:bookmarkStart w:id="193" w:name="_Toc132191268"/>
      <w:bookmarkStart w:id="194" w:name="_Toc132186984"/>
      <w:bookmarkStart w:id="195" w:name="_Toc32477"/>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4"/>
        <w:spacing w:before="0" w:after="0" w:line="560" w:lineRule="exact"/>
        <w:ind w:firstLine="560" w:firstLineChars="200"/>
        <w:rPr>
          <w:rFonts w:ascii="黑体" w:hAnsi="黑体" w:cs="黑体"/>
          <w:b w:val="0"/>
          <w:color w:val="auto"/>
          <w:sz w:val="28"/>
          <w:szCs w:val="28"/>
          <w:highlight w:val="none"/>
        </w:rPr>
      </w:pPr>
      <w:bookmarkStart w:id="196" w:name="_Toc132191269"/>
      <w:bookmarkStart w:id="197" w:name="_Toc121216205"/>
      <w:bookmarkStart w:id="198" w:name="_Toc28703"/>
      <w:bookmarkStart w:id="199" w:name="_Toc14862"/>
      <w:bookmarkStart w:id="200" w:name="_Toc130888017"/>
      <w:bookmarkStart w:id="201" w:name="_Toc132186985"/>
      <w:bookmarkStart w:id="202" w:name="_Toc128154378"/>
      <w:bookmarkStart w:id="203" w:name="_Toc10300"/>
      <w:bookmarkStart w:id="204" w:name="_Toc32494"/>
      <w:bookmarkStart w:id="205" w:name="_Toc128470305"/>
      <w:bookmarkStart w:id="206" w:name="_Toc130661186"/>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6"/>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207" w:name="_Toc16995"/>
      <w:bookmarkStart w:id="208" w:name="_Toc130661187"/>
      <w:bookmarkStart w:id="209" w:name="_Toc128154379"/>
      <w:bookmarkStart w:id="210" w:name="_Toc132191270"/>
      <w:bookmarkStart w:id="211" w:name="_Toc130888018"/>
      <w:bookmarkStart w:id="212" w:name="_Toc121216206"/>
      <w:bookmarkStart w:id="213" w:name="_Toc7334"/>
      <w:bookmarkStart w:id="214" w:name="_Toc132186986"/>
      <w:bookmarkStart w:id="215" w:name="_Toc14394"/>
      <w:bookmarkStart w:id="216" w:name="_Toc128470306"/>
      <w:bookmarkStart w:id="217" w:name="_Toc8142"/>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4"/>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128470307"/>
      <w:bookmarkStart w:id="219" w:name="_Toc23845"/>
      <w:bookmarkStart w:id="220" w:name="_Toc25665"/>
      <w:bookmarkStart w:id="221" w:name="_Toc132186987"/>
      <w:bookmarkStart w:id="222" w:name="_Toc21465"/>
      <w:bookmarkStart w:id="223" w:name="_Toc130888019"/>
      <w:bookmarkStart w:id="224" w:name="_Toc132191271"/>
      <w:bookmarkStart w:id="225" w:name="_Toc15882"/>
      <w:bookmarkStart w:id="226" w:name="_Toc128154380"/>
      <w:bookmarkStart w:id="227" w:name="_Toc130661188"/>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1"/>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5"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3"/>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1"/>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eastAsia="zh-CN"/>
              </w:rPr>
            </w:pPr>
            <w:r>
              <w:rPr>
                <w:rFonts w:hint="eastAsia" w:ascii="宋体" w:hAnsi="宋体"/>
                <w:sz w:val="21"/>
                <w:szCs w:val="21"/>
                <w:highlight w:val="none"/>
                <w:u w:val="none"/>
                <w:lang w:eastAsia="zh-CN"/>
              </w:rPr>
              <w:t>耗材清单及价格一览表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4</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1"/>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1.供应商须提供《医疗器械经营许可证》或经营备案凭。如生产企业（北京生产厂家在北京地区销售产品）仅提供《医疗器械生产许可证》。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1"/>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p>
        </w:tc>
      </w:tr>
    </w:tbl>
    <w:p>
      <w:pPr>
        <w:pStyle w:val="3"/>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49"/>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49"/>
        <w:rPr>
          <w:rFonts w:hint="eastAsia" w:ascii="宋体" w:hAnsi="宋体" w:cs="宋体"/>
          <w:bCs/>
          <w:color w:val="auto"/>
          <w:sz w:val="28"/>
          <w:szCs w:val="28"/>
          <w:highlight w:val="none"/>
          <w:u w:val="single"/>
          <w:lang w:eastAsia="zh-CN"/>
        </w:rPr>
        <w:sectPr>
          <w:headerReference r:id="rId16" w:type="default"/>
          <w:pgSz w:w="11906" w:h="16838"/>
          <w:pgMar w:top="1418" w:right="1134" w:bottom="1418" w:left="1418" w:header="851" w:footer="992" w:gutter="0"/>
          <w:pgNumType w:fmt="decimal"/>
          <w:cols w:space="720" w:num="1"/>
          <w:docGrid w:linePitch="312" w:charSpace="0"/>
        </w:sectPr>
      </w:pPr>
    </w:p>
    <w:p>
      <w:pPr>
        <w:pStyle w:val="5"/>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5"/>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1"/>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报价</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1"/>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sz w:val="21"/>
                <w:highlight w:val="none"/>
                <w:lang w:val="en-US" w:eastAsia="zh-CN"/>
              </w:rPr>
            </w:pPr>
            <w:r>
              <w:rPr>
                <w:rFonts w:hint="eastAsia" w:ascii="宋体" w:hAnsi="宋体"/>
                <w:sz w:val="21"/>
                <w:highlight w:val="none"/>
                <w:lang w:val="en-US" w:eastAsia="zh-CN"/>
              </w:rPr>
              <w:t>如全自动细菌分枝杆菌培养监测系统</w:t>
            </w:r>
          </w:p>
          <w:p>
            <w:pPr>
              <w:shd w:val="clear"/>
              <w:spacing w:beforeLines="0" w:afterLines="0"/>
              <w:jc w:val="center"/>
              <w:rPr>
                <w:rFonts w:hint="default" w:ascii="宋体" w:hAnsi="宋体"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3.报价包含耗材本身价格、包装费用、运输费用、装卸费用、安装调试费用、质保费用、售后服务费用以及各种税费、管理费、利润、其他费用等全部费用；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49"/>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rPr>
          <w:rFonts w:hint="default" w:ascii="黑体" w:hAnsi="黑体" w:eastAsia="黑体"/>
          <w:color w:val="000000"/>
          <w:sz w:val="28"/>
          <w:highlight w:val="none"/>
          <w:lang w:val="en-US" w:eastAsia="zh-CN"/>
        </w:rPr>
      </w:pPr>
      <w:r>
        <w:rPr>
          <w:rFonts w:hint="eastAsia"/>
          <w:b w:val="0"/>
          <w:highlight w:val="none"/>
        </w:rPr>
        <w:br w:type="page"/>
      </w: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w:t>
      </w:r>
    </w:p>
    <w:p>
      <w:pPr>
        <w:keepNext w:val="0"/>
        <w:keepLines w:val="0"/>
        <w:pageBreakBefore w:val="0"/>
        <w:widowControl w:val="0"/>
        <w:kinsoku/>
        <w:wordWrap/>
        <w:overflowPunct/>
        <w:topLinePunct w:val="0"/>
        <w:autoSpaceDE/>
        <w:autoSpaceDN/>
        <w:bidi w:val="0"/>
        <w:adjustRightInd/>
        <w:snapToGrid/>
        <w:spacing w:beforeLines="0" w:line="520" w:lineRule="exact"/>
        <w:jc w:val="center"/>
        <w:textAlignment w:val="auto"/>
        <w:rPr>
          <w:rFonts w:hint="eastAsia" w:eastAsia="方正小标宋简体"/>
          <w:color w:val="auto"/>
          <w:sz w:val="48"/>
          <w:szCs w:val="28"/>
          <w:highlight w:val="none"/>
          <w:lang w:eastAsia="zh-CN"/>
        </w:rPr>
      </w:pPr>
      <w:bookmarkStart w:id="229" w:name="_Toc1886_WPSOffice_Level1"/>
      <w:r>
        <w:rPr>
          <w:rFonts w:hint="eastAsia" w:eastAsia="方正小标宋简体"/>
          <w:color w:val="auto"/>
          <w:sz w:val="48"/>
          <w:szCs w:val="28"/>
          <w:highlight w:val="none"/>
        </w:rPr>
        <w:t>耗材清单及</w:t>
      </w:r>
      <w:r>
        <w:rPr>
          <w:rFonts w:hint="eastAsia" w:eastAsia="方正小标宋简体"/>
          <w:sz w:val="48"/>
          <w:szCs w:val="28"/>
          <w:highlight w:val="none"/>
        </w:rPr>
        <w:t>价格构成表</w:t>
      </w:r>
      <w:bookmarkEnd w:id="229"/>
    </w:p>
    <w:p>
      <w:pPr>
        <w:spacing w:beforeLines="0" w:afterLines="0"/>
        <w:rPr>
          <w:rFonts w:hint="eastAsia" w:ascii="仿宋_GB2312" w:hAnsi="仿宋_GB2312" w:eastAsia="仿宋_GB2312"/>
          <w:color w:val="auto"/>
          <w:sz w:val="28"/>
          <w:highlight w:val="none"/>
        </w:rPr>
      </w:pPr>
      <w:bookmarkStart w:id="230" w:name="_Toc26671_WPSOffice_Level2"/>
      <w:r>
        <w:rPr>
          <w:rFonts w:hint="eastAsia" w:ascii="黑体" w:hAnsi="黑体" w:eastAsia="黑体"/>
          <w:color w:val="auto"/>
          <w:sz w:val="20"/>
          <w:highlight w:val="none"/>
        </w:rPr>
        <w:t>项目名称：                                                                                        项目编号：</w:t>
      </w:r>
      <w:bookmarkEnd w:id="230"/>
      <w:r>
        <w:rPr>
          <w:rFonts w:hint="eastAsia" w:ascii="仿宋_GB2312" w:hAnsi="仿宋_GB2312" w:eastAsia="仿宋_GB2312"/>
          <w:color w:val="auto"/>
          <w:sz w:val="28"/>
          <w:highlight w:val="none"/>
        </w:rPr>
        <w:t xml:space="preserve">     </w:t>
      </w:r>
    </w:p>
    <w:tbl>
      <w:tblPr>
        <w:tblStyle w:val="41"/>
        <w:tblW w:w="140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2668"/>
        <w:gridCol w:w="1642"/>
        <w:gridCol w:w="1407"/>
        <w:gridCol w:w="1682"/>
        <w:gridCol w:w="830"/>
        <w:gridCol w:w="1282"/>
        <w:gridCol w:w="1213"/>
        <w:gridCol w:w="1321"/>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序号</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耗材</w:t>
            </w:r>
            <w:r>
              <w:rPr>
                <w:rFonts w:hint="eastAsia" w:asciiTheme="minorEastAsia" w:hAnsiTheme="minorEastAsia" w:eastAsiaTheme="minorEastAsia" w:cstheme="minorEastAsia"/>
                <w:b/>
                <w:bCs/>
                <w:color w:val="auto"/>
                <w:sz w:val="22"/>
                <w:szCs w:val="22"/>
                <w:highlight w:val="none"/>
                <w:lang w:eastAsia="zh-CN"/>
              </w:rPr>
              <w:t>（试剂）</w:t>
            </w:r>
            <w:r>
              <w:rPr>
                <w:rFonts w:hint="eastAsia" w:asciiTheme="minorEastAsia" w:hAnsiTheme="minorEastAsia" w:eastAsiaTheme="minorEastAsia" w:cstheme="minorEastAsia"/>
                <w:b/>
                <w:bCs/>
                <w:color w:val="auto"/>
                <w:sz w:val="22"/>
                <w:szCs w:val="22"/>
                <w:highlight w:val="none"/>
              </w:rPr>
              <w:t>名称</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lang w:val="en-US" w:eastAsia="zh-CN"/>
              </w:rPr>
              <w:t>注册证或备案证号</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bCs/>
                <w:sz w:val="22"/>
                <w:szCs w:val="22"/>
                <w:highlight w:val="none"/>
              </w:rPr>
              <w:t>规格</w:t>
            </w:r>
            <w:r>
              <w:rPr>
                <w:rFonts w:hint="eastAsia" w:asciiTheme="minorEastAsia" w:hAnsiTheme="minorEastAsia" w:eastAsiaTheme="minorEastAsia" w:cstheme="minorEastAsia"/>
                <w:b/>
                <w:bCs/>
                <w:sz w:val="22"/>
                <w:szCs w:val="22"/>
                <w:highlight w:val="none"/>
                <w:lang w:eastAsia="zh-CN"/>
              </w:rPr>
              <w:t>型号</w:t>
            </w:r>
          </w:p>
          <w:p>
            <w:pPr>
              <w:pStyle w:val="49"/>
              <w:jc w:val="center"/>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(全部）</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生产企业</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lang w:val="en-US" w:eastAsia="zh-CN"/>
              </w:rPr>
              <w:t>计量单位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单价</w:t>
            </w:r>
          </w:p>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（元）</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XX台2年预估用量</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总价</w:t>
            </w:r>
            <w:r>
              <w:rPr>
                <w:rFonts w:hint="eastAsia" w:asciiTheme="minorEastAsia" w:hAnsiTheme="minorEastAsia" w:eastAsiaTheme="minorEastAsia" w:cstheme="minorEastAsia"/>
                <w:b/>
                <w:bCs/>
                <w:color w:val="auto"/>
                <w:sz w:val="22"/>
                <w:szCs w:val="22"/>
                <w:highlight w:val="none"/>
                <w:lang w:eastAsia="zh-CN"/>
              </w:rPr>
              <w:t>（</w:t>
            </w:r>
            <w:r>
              <w:rPr>
                <w:rFonts w:hint="eastAsia" w:asciiTheme="minorEastAsia" w:hAnsiTheme="minorEastAsia" w:eastAsiaTheme="minorEastAsia" w:cstheme="minorEastAsia"/>
                <w:b/>
                <w:bCs/>
                <w:color w:val="auto"/>
                <w:sz w:val="22"/>
                <w:szCs w:val="22"/>
                <w:highlight w:val="none"/>
              </w:rPr>
              <w:t>元</w:t>
            </w:r>
            <w:r>
              <w:rPr>
                <w:rFonts w:hint="eastAsia" w:asciiTheme="minorEastAsia" w:hAnsiTheme="minorEastAsia" w:eastAsiaTheme="minorEastAsia" w:cstheme="minorEastAsia"/>
                <w:b/>
                <w:bCs/>
                <w:color w:val="auto"/>
                <w:sz w:val="22"/>
                <w:szCs w:val="22"/>
                <w:highlight w:val="none"/>
                <w:lang w:eastAsia="zh-CN"/>
              </w:rPr>
              <w:t>）</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规格型号1</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盒</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举例：0.1</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bCs w:val="0"/>
                <w:color w:val="auto"/>
                <w:kern w:val="2"/>
                <w:sz w:val="22"/>
                <w:szCs w:val="22"/>
                <w:highlight w:val="none"/>
                <w:lang w:val="en-US" w:eastAsia="zh-CN" w:bidi="ar-SA"/>
              </w:rPr>
              <w:t>250</w:t>
            </w:r>
          </w:p>
        </w:tc>
        <w:tc>
          <w:tcPr>
            <w:tcW w:w="1321" w:type="dxa"/>
            <w:vMerge w:val="restart"/>
            <w:tcBorders>
              <w:left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bCs w:val="0"/>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sz w:val="22"/>
                <w:szCs w:val="22"/>
                <w:highlight w:val="none"/>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规格型号2</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盒</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举例：0.3</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250</w:t>
            </w:r>
          </w:p>
        </w:tc>
        <w:tc>
          <w:tcPr>
            <w:tcW w:w="1321"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9444"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0.2</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11939" w:type="dxa"/>
            <w:gridSpan w:val="8"/>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bCs/>
                <w:sz w:val="22"/>
                <w:szCs w:val="22"/>
                <w:highlight w:val="none"/>
                <w:lang w:eastAsia="zh-CN"/>
              </w:rPr>
              <w:t>合计（元）</w:t>
            </w:r>
            <w:r>
              <w:rPr>
                <w:rFonts w:hint="eastAsia" w:asciiTheme="minorEastAsia" w:hAnsiTheme="minorEastAsia" w:eastAsiaTheme="minorEastAsia" w:cstheme="minorEastAsia"/>
                <w:b/>
                <w:bCs/>
                <w:color w:val="auto"/>
                <w:sz w:val="22"/>
                <w:szCs w:val="22"/>
                <w:highlight w:val="none"/>
                <w:lang w:eastAsia="zh-CN"/>
              </w:rPr>
              <w:t>（小数点后保留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bl>
    <w:p>
      <w:pPr>
        <w:ind w:firstLine="10400" w:firstLineChars="5200"/>
        <w:rPr>
          <w:rFonts w:hint="eastAsia" w:ascii="仿宋_GB2312" w:hAnsi="仿宋_GB2312" w:eastAsia="仿宋_GB2312" w:cs="仿宋_GB2312"/>
          <w:b/>
          <w:bCs/>
          <w:sz w:val="20"/>
          <w:szCs w:val="20"/>
          <w:highlight w:val="none"/>
        </w:rPr>
      </w:pPr>
      <w:bookmarkStart w:id="231" w:name="_Toc18691_WPSOffice_Level2"/>
      <w:r>
        <w:rPr>
          <w:rFonts w:hint="eastAsia" w:ascii="黑体" w:hAnsi="黑体" w:eastAsia="黑体" w:cs="黑体"/>
          <w:b w:val="0"/>
          <w:bCs w:val="0"/>
          <w:sz w:val="20"/>
          <w:szCs w:val="20"/>
          <w:highlight w:val="none"/>
        </w:rPr>
        <w:t>纸面不敷时，可以另加页</w:t>
      </w:r>
      <w:bookmarkEnd w:id="231"/>
    </w:p>
    <w:p>
      <w:pPr>
        <w:keepNext w:val="0"/>
        <w:keepLines w:val="0"/>
        <w:pageBreakBefore w:val="0"/>
        <w:widowControl w:val="0"/>
        <w:kinsoku/>
        <w:wordWrap/>
        <w:overflowPunct/>
        <w:topLinePunct w:val="0"/>
        <w:bidi w:val="0"/>
        <w:snapToGrid/>
        <w:spacing w:beforeLines="0" w:afterLines="0" w:line="240" w:lineRule="exact"/>
        <w:ind w:firstLine="402" w:firstLineChars="200"/>
        <w:textAlignment w:val="auto"/>
        <w:rPr>
          <w:rFonts w:hint="eastAsia" w:ascii="黑体" w:hAnsi="黑体" w:eastAsia="黑体" w:cs="黑体"/>
          <w:b/>
          <w:bCs/>
          <w:color w:val="auto"/>
          <w:sz w:val="20"/>
          <w:szCs w:val="20"/>
          <w:highlight w:val="none"/>
          <w:lang w:eastAsia="zh-CN"/>
        </w:rPr>
      </w:pPr>
      <w:r>
        <w:rPr>
          <w:rFonts w:hint="eastAsia" w:ascii="黑体" w:hAnsi="黑体" w:eastAsia="黑体" w:cs="黑体"/>
          <w:b/>
          <w:bCs/>
          <w:color w:val="auto"/>
          <w:sz w:val="20"/>
          <w:szCs w:val="20"/>
          <w:highlight w:val="none"/>
          <w:lang w:eastAsia="zh-CN"/>
        </w:rPr>
        <w:t>以上为示例，各报价供应商按要求填报，注意事项如下：</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1</w:t>
      </w:r>
      <w:r>
        <w:rPr>
          <w:rFonts w:hint="eastAsia" w:ascii="黑体" w:hAnsi="黑体" w:eastAsia="黑体" w:cs="黑体"/>
          <w:b w:val="0"/>
          <w:bCs w:val="0"/>
          <w:color w:val="auto"/>
          <w:sz w:val="20"/>
          <w:szCs w:val="20"/>
          <w:highlight w:val="none"/>
          <w:lang w:val="en-US" w:eastAsia="zh-CN"/>
        </w:rPr>
        <w:t>.按</w:t>
      </w:r>
      <w:r>
        <w:rPr>
          <w:rFonts w:hint="eastAsia" w:ascii="黑体" w:hAnsi="黑体" w:eastAsia="黑体" w:cs="黑体"/>
          <w:b w:val="0"/>
          <w:bCs w:val="0"/>
          <w:color w:val="auto"/>
          <w:sz w:val="20"/>
          <w:szCs w:val="20"/>
          <w:highlight w:val="none"/>
        </w:rPr>
        <w:t>需求表内容</w:t>
      </w:r>
      <w:r>
        <w:rPr>
          <w:rFonts w:hint="eastAsia" w:ascii="黑体" w:hAnsi="黑体" w:eastAsia="黑体" w:cs="黑体"/>
          <w:b w:val="0"/>
          <w:bCs w:val="0"/>
          <w:color w:val="auto"/>
          <w:sz w:val="20"/>
          <w:szCs w:val="20"/>
          <w:highlight w:val="none"/>
          <w:lang w:eastAsia="zh-CN"/>
        </w:rPr>
        <w:t>对所配套耗材全部规格型号进行详细填报</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填报内容</w:t>
      </w:r>
      <w:r>
        <w:rPr>
          <w:rFonts w:hint="eastAsia" w:ascii="黑体" w:hAnsi="黑体" w:eastAsia="黑体" w:cs="黑体"/>
          <w:b w:val="0"/>
          <w:bCs w:val="0"/>
          <w:color w:val="auto"/>
          <w:sz w:val="20"/>
          <w:szCs w:val="20"/>
          <w:highlight w:val="none"/>
        </w:rPr>
        <w:t>不得缺项或者多项，不得使用已经停产产品进行报价，否则</w:t>
      </w:r>
      <w:r>
        <w:rPr>
          <w:rFonts w:hint="eastAsia" w:ascii="黑体" w:hAnsi="黑体" w:eastAsia="黑体" w:cs="黑体"/>
          <w:b w:val="0"/>
          <w:bCs w:val="0"/>
          <w:color w:val="auto"/>
          <w:sz w:val="20"/>
          <w:szCs w:val="20"/>
          <w:highlight w:val="none"/>
          <w:lang w:eastAsia="zh-CN"/>
        </w:rPr>
        <w:t>报价无效</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2</w:t>
      </w:r>
      <w:r>
        <w:rPr>
          <w:rFonts w:hint="eastAsia" w:ascii="黑体" w:hAnsi="黑体" w:eastAsia="黑体" w:cs="黑体"/>
          <w:b w:val="0"/>
          <w:bCs w:val="0"/>
          <w:color w:val="auto"/>
          <w:sz w:val="20"/>
          <w:szCs w:val="20"/>
          <w:highlight w:val="none"/>
          <w:lang w:val="en-US" w:eastAsia="zh-CN"/>
        </w:rPr>
        <w:t>.</w:t>
      </w:r>
      <w:r>
        <w:rPr>
          <w:rFonts w:hint="eastAsia" w:ascii="黑体" w:hAnsi="黑体" w:eastAsia="黑体" w:cs="黑体"/>
          <w:b w:val="0"/>
          <w:bCs w:val="0"/>
          <w:color w:val="auto"/>
          <w:sz w:val="20"/>
          <w:szCs w:val="20"/>
          <w:highlight w:val="none"/>
        </w:rPr>
        <w:t>耗材所有</w:t>
      </w:r>
      <w:r>
        <w:rPr>
          <w:rFonts w:hint="eastAsia" w:ascii="黑体" w:hAnsi="黑体" w:eastAsia="黑体" w:cs="黑体"/>
          <w:b w:val="0"/>
          <w:bCs w:val="0"/>
          <w:color w:val="auto"/>
          <w:sz w:val="20"/>
          <w:szCs w:val="20"/>
          <w:highlight w:val="none"/>
          <w:lang w:eastAsia="zh-CN"/>
        </w:rPr>
        <w:t>单项</w:t>
      </w:r>
      <w:r>
        <w:rPr>
          <w:rFonts w:hint="eastAsia" w:ascii="黑体" w:hAnsi="黑体" w:eastAsia="黑体" w:cs="黑体"/>
          <w:b w:val="0"/>
          <w:bCs w:val="0"/>
          <w:color w:val="auto"/>
          <w:sz w:val="20"/>
          <w:szCs w:val="20"/>
          <w:highlight w:val="none"/>
        </w:rPr>
        <w:t>报价将作为后期耗材引进时最高限价</w:t>
      </w:r>
      <w:r>
        <w:rPr>
          <w:rFonts w:hint="eastAsia" w:ascii="黑体" w:hAnsi="黑体" w:eastAsia="黑体" w:cs="黑体"/>
          <w:b w:val="0"/>
          <w:bCs w:val="0"/>
          <w:color w:val="auto"/>
          <w:sz w:val="20"/>
          <w:szCs w:val="20"/>
          <w:highlight w:val="none"/>
          <w:lang w:eastAsia="zh-CN"/>
        </w:rPr>
        <w:t>，</w:t>
      </w:r>
      <w:r>
        <w:rPr>
          <w:rFonts w:hint="eastAsia" w:ascii="等线" w:hAnsi="等线" w:eastAsia="等线" w:cs="等线"/>
          <w:i w:val="0"/>
          <w:color w:val="000000"/>
          <w:kern w:val="0"/>
          <w:sz w:val="20"/>
          <w:szCs w:val="20"/>
          <w:highlight w:val="none"/>
          <w:u w:val="none"/>
          <w:lang w:val="en-US" w:eastAsia="zh-CN" w:bidi="ar"/>
        </w:rPr>
        <w:t>耗材为解放军总医院目录内产品，须一同报价，并按照就低原则同步调价</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3</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w:t>
      </w:r>
      <w:r>
        <w:rPr>
          <w:rFonts w:hint="eastAsia" w:ascii="黑体" w:hAnsi="黑体" w:eastAsia="黑体" w:cs="黑体"/>
          <w:b w:val="0"/>
          <w:bCs w:val="0"/>
          <w:color w:val="auto"/>
          <w:sz w:val="20"/>
          <w:szCs w:val="20"/>
          <w:highlight w:val="none"/>
          <w:lang w:eastAsia="zh-CN"/>
        </w:rPr>
        <w:t>为同一注册证</w:t>
      </w:r>
      <w:r>
        <w:rPr>
          <w:rFonts w:hint="eastAsia" w:ascii="黑体" w:hAnsi="黑体" w:eastAsia="黑体" w:cs="黑体"/>
          <w:b w:val="0"/>
          <w:bCs w:val="0"/>
          <w:color w:val="auto"/>
          <w:sz w:val="20"/>
          <w:szCs w:val="20"/>
          <w:highlight w:val="none"/>
        </w:rPr>
        <w:t>存在多个规格</w:t>
      </w:r>
      <w:r>
        <w:rPr>
          <w:rFonts w:hint="eastAsia" w:ascii="黑体" w:hAnsi="黑体" w:eastAsia="黑体" w:cs="黑体"/>
          <w:b w:val="0"/>
          <w:bCs w:val="0"/>
          <w:color w:val="auto"/>
          <w:sz w:val="20"/>
          <w:szCs w:val="20"/>
          <w:highlight w:val="none"/>
          <w:lang w:eastAsia="zh-CN"/>
        </w:rPr>
        <w:t>型号</w:t>
      </w:r>
      <w:r>
        <w:rPr>
          <w:rFonts w:hint="eastAsia" w:ascii="黑体" w:hAnsi="黑体" w:eastAsia="黑体" w:cs="黑体"/>
          <w:b w:val="0"/>
          <w:bCs w:val="0"/>
          <w:color w:val="auto"/>
          <w:sz w:val="20"/>
          <w:szCs w:val="20"/>
          <w:highlight w:val="none"/>
        </w:rPr>
        <w:t>且价格不同，</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单价（平均价）</w:t>
      </w:r>
      <w:r>
        <w:rPr>
          <w:rFonts w:hint="eastAsia" w:ascii="黑体" w:hAnsi="黑体" w:eastAsia="黑体" w:cs="黑体"/>
          <w:b w:val="0"/>
          <w:bCs w:val="0"/>
          <w:color w:val="auto"/>
          <w:sz w:val="20"/>
          <w:szCs w:val="20"/>
          <w:highlight w:val="none"/>
        </w:rPr>
        <w:t>×用量</w:t>
      </w:r>
      <w:r>
        <w:rPr>
          <w:rFonts w:hint="eastAsia" w:ascii="黑体" w:hAnsi="黑体" w:eastAsia="黑体" w:cs="黑体"/>
          <w:b w:val="0"/>
          <w:bCs w:val="0"/>
          <w:color w:val="auto"/>
          <w:sz w:val="20"/>
          <w:szCs w:val="20"/>
          <w:highlight w:val="none"/>
          <w:lang w:val="en-US" w:eastAsia="zh-CN"/>
        </w:rPr>
        <w:t>=总价（元）”</w:t>
      </w:r>
      <w:r>
        <w:rPr>
          <w:rFonts w:hint="eastAsia" w:ascii="黑体" w:hAnsi="黑体" w:eastAsia="黑体" w:cs="黑体"/>
          <w:b w:val="0"/>
          <w:bCs w:val="0"/>
          <w:color w:val="auto"/>
          <w:sz w:val="20"/>
          <w:szCs w:val="20"/>
          <w:highlight w:val="none"/>
        </w:rPr>
        <w:t>计入评分。</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rPr>
        <w:t>4</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耗材报价不计入中标总价中，</w:t>
      </w:r>
      <w:r>
        <w:rPr>
          <w:rFonts w:hint="eastAsia" w:ascii="黑体" w:hAnsi="黑体" w:eastAsia="黑体" w:cs="黑体"/>
          <w:b w:val="0"/>
          <w:bCs w:val="0"/>
          <w:color w:val="auto"/>
          <w:sz w:val="20"/>
          <w:szCs w:val="20"/>
          <w:highlight w:val="none"/>
          <w:lang w:eastAsia="zh-CN"/>
        </w:rPr>
        <w:t>但</w:t>
      </w:r>
      <w:r>
        <w:rPr>
          <w:rFonts w:hint="eastAsia" w:ascii="黑体" w:hAnsi="黑体" w:eastAsia="黑体" w:cs="黑体"/>
          <w:b w:val="0"/>
          <w:bCs w:val="0"/>
          <w:color w:val="auto"/>
          <w:sz w:val="20"/>
          <w:szCs w:val="20"/>
          <w:highlight w:val="none"/>
        </w:rPr>
        <w:t>作为</w:t>
      </w:r>
      <w:r>
        <w:rPr>
          <w:rFonts w:hint="eastAsia" w:ascii="黑体" w:hAnsi="黑体" w:eastAsia="黑体" w:cs="黑体"/>
          <w:b w:val="0"/>
          <w:bCs w:val="0"/>
          <w:color w:val="auto"/>
          <w:sz w:val="20"/>
          <w:szCs w:val="20"/>
          <w:highlight w:val="none"/>
          <w:lang w:eastAsia="zh-CN"/>
        </w:rPr>
        <w:t>本次</w:t>
      </w:r>
      <w:r>
        <w:rPr>
          <w:rFonts w:hint="eastAsia" w:ascii="黑体" w:hAnsi="黑体" w:eastAsia="黑体" w:cs="黑体"/>
          <w:b w:val="0"/>
          <w:bCs w:val="0"/>
          <w:color w:val="auto"/>
          <w:sz w:val="20"/>
          <w:szCs w:val="20"/>
          <w:highlight w:val="none"/>
        </w:rPr>
        <w:t>价格评审重要依据。</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lang w:val="en-US" w:eastAsia="zh-CN"/>
        </w:rPr>
        <w:t>5</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配套耗材不是同一个生产厂家的产品，主要产品逐个生产厂家确认即可。</w:t>
      </w:r>
    </w:p>
    <w:p>
      <w:pPr>
        <w:pStyle w:val="49"/>
        <w:keepNext w:val="0"/>
        <w:keepLines w:val="0"/>
        <w:pageBreakBefore w:val="0"/>
        <w:widowControl w:val="0"/>
        <w:numPr>
          <w:ilvl w:val="0"/>
          <w:numId w:val="0"/>
        </w:numPr>
        <w:kinsoku/>
        <w:wordWrap/>
        <w:overflowPunct/>
        <w:topLinePunct w:val="0"/>
        <w:bidi w:val="0"/>
        <w:snapToGrid/>
        <w:spacing w:line="240" w:lineRule="exact"/>
        <w:ind w:firstLine="400" w:firstLineChars="200"/>
        <w:jc w:val="both"/>
        <w:textAlignment w:val="auto"/>
        <w:rPr>
          <w:rFonts w:hint="eastAsia" w:ascii="黑体" w:hAnsi="黑体" w:eastAsia="黑体" w:cs="黑体"/>
          <w:b w:val="0"/>
          <w:bCs w:val="0"/>
          <w:color w:val="auto"/>
          <w:kern w:val="2"/>
          <w:sz w:val="20"/>
          <w:szCs w:val="20"/>
          <w:highlight w:val="none"/>
          <w:lang w:val="en-US" w:eastAsia="zh-CN" w:bidi="ar-SA"/>
        </w:rPr>
      </w:pPr>
      <w:r>
        <w:rPr>
          <w:rFonts w:hint="eastAsia" w:ascii="黑体" w:hAnsi="黑体" w:eastAsia="黑体" w:cs="黑体"/>
          <w:b w:val="0"/>
          <w:bCs w:val="0"/>
          <w:color w:val="auto"/>
          <w:kern w:val="2"/>
          <w:sz w:val="20"/>
          <w:szCs w:val="20"/>
          <w:highlight w:val="none"/>
          <w:lang w:val="en-US" w:eastAsia="zh-CN" w:bidi="ar-SA"/>
        </w:rPr>
        <w:t>6.所投产品提供的耗材按医疗器械管理的，须提供相应的医疗器械注册证或备案凭证。</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厂家全称：（盖章）                                         供应商全称：（盖章）                       </w:t>
      </w:r>
    </w:p>
    <w:p>
      <w:pPr>
        <w:ind w:firstLine="840" w:firstLineChars="300"/>
        <w:rPr>
          <w:rFonts w:ascii="宋体" w:hAnsi="宋体" w:cs="宋体"/>
          <w:bCs/>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 xml:space="preserve"> </w:t>
      </w:r>
      <w:r>
        <w:rPr>
          <w:rFonts w:hint="eastAsia" w:ascii="宋体" w:hAnsi="宋体" w:cs="宋体"/>
          <w:bCs/>
          <w:sz w:val="28"/>
          <w:szCs w:val="28"/>
          <w:highlight w:val="none"/>
        </w:rPr>
        <w:t xml:space="preserve">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pStyle w:val="16"/>
        <w:keepNext w:val="0"/>
        <w:keepLines w:val="0"/>
        <w:pageBreakBefore w:val="0"/>
        <w:widowControl w:val="0"/>
        <w:kinsoku/>
        <w:wordWrap/>
        <w:overflowPunct/>
        <w:topLinePunct w:val="0"/>
        <w:autoSpaceDE/>
        <w:autoSpaceDN/>
        <w:bidi w:val="0"/>
        <w:adjustRightInd/>
        <w:snapToGrid/>
        <w:spacing w:line="300" w:lineRule="exact"/>
        <w:textAlignment w:val="auto"/>
        <w:rPr>
          <w:highlight w:val="none"/>
        </w:rPr>
      </w:pP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 xml:space="preserve">日                                         </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日</w:t>
      </w:r>
    </w:p>
    <w:p>
      <w:pPr>
        <w:pStyle w:val="49"/>
        <w:rPr>
          <w:rFonts w:hint="eastAsia" w:ascii="宋体" w:hAnsi="宋体" w:cs="宋体"/>
          <w:bCs/>
          <w:color w:val="auto"/>
          <w:sz w:val="28"/>
          <w:szCs w:val="28"/>
          <w:highlight w:val="none"/>
          <w:u w:val="single"/>
          <w:lang w:eastAsia="zh-CN"/>
        </w:rPr>
        <w:sectPr>
          <w:pgSz w:w="16838" w:h="11906" w:orient="landscape"/>
          <w:pgMar w:top="1418" w:right="1418" w:bottom="1134" w:left="1418" w:header="851" w:footer="992" w:gutter="0"/>
          <w:pgNumType w:fmt="decimal"/>
          <w:cols w:space="720" w:num="1"/>
          <w:docGrid w:linePitch="312" w:charSpace="0"/>
        </w:sectPr>
      </w:pPr>
      <w:r>
        <w:rPr>
          <w:rFonts w:hint="eastAsia"/>
          <w:highlight w:val="none"/>
        </w:rPr>
        <w:t>备注：厂家指境内医用耗材生产企业或境外医用耗材《医疗器械注册证》上指定的</w:t>
      </w:r>
      <w:r>
        <w:rPr>
          <w:rFonts w:hint="eastAsia"/>
          <w:highlight w:val="none"/>
          <w:lang w:eastAsia="zh-CN"/>
        </w:rPr>
        <w:t>注册</w:t>
      </w:r>
      <w:r>
        <w:rPr>
          <w:rFonts w:hint="eastAsia"/>
          <w:highlight w:val="none"/>
        </w:rPr>
        <w:t>人</w:t>
      </w:r>
      <w:r>
        <w:rPr>
          <w:rFonts w:hint="eastAsia"/>
          <w:highlight w:val="none"/>
          <w:lang w:eastAsia="zh-CN"/>
        </w:rPr>
        <w:t>或代理人</w:t>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7" w:type="default"/>
          <w:footerReference r:id="rId18"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5"/>
        <w:spacing w:beforeLines="50" w:afterLines="50"/>
        <w:rPr>
          <w:rFonts w:hint="eastAsia"/>
          <w:b w:val="0"/>
          <w:highlight w:val="none"/>
          <w:lang w:val="zh-CN"/>
        </w:rPr>
      </w:pPr>
      <w:r>
        <w:rPr>
          <w:rFonts w:hint="eastAsia"/>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5"/>
        <w:spacing w:before="120" w:beforeLines="50" w:after="12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5"/>
        <w:spacing w:beforeLines="50" w:afterLines="50" w:line="560" w:lineRule="exact"/>
        <w:rPr>
          <w:bCs w:val="0"/>
          <w:highlight w:val="none"/>
          <w:lang w:val="zh-CN"/>
        </w:rPr>
      </w:pPr>
      <w:r>
        <w:rPr>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5"/>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49"/>
        <w:rPr>
          <w:rFonts w:hint="eastAsia"/>
          <w:lang w:val="zh-CN"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49"/>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49"/>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line="560" w:lineRule="exact"/>
        <w:rPr>
          <w:highlight w:val="none"/>
          <w:lang w:val="zh-CN"/>
        </w:rPr>
      </w:pPr>
    </w:p>
    <w:p>
      <w:pPr>
        <w:rPr>
          <w:rFonts w:hint="eastAsia"/>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49"/>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49"/>
        <w:rPr>
          <w:rFonts w:hint="eastAsia"/>
          <w:highlight w:val="none"/>
        </w:rPr>
      </w:pPr>
      <w:r>
        <w:rPr>
          <w:rFonts w:hint="eastAsia"/>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49"/>
        <w:rPr>
          <w:rFonts w:hint="eastAsia"/>
          <w:highlight w:val="none"/>
        </w:rPr>
      </w:pPr>
      <w:r>
        <w:rPr>
          <w:b w:val="0"/>
          <w:highlight w:val="none"/>
          <w:lang w:val="zh-CN"/>
        </w:rPr>
        <w:br w:type="page"/>
      </w:r>
    </w:p>
    <w:p>
      <w:pPr>
        <w:pStyle w:val="5"/>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6"/>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1"/>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49"/>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5"/>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5"/>
        <w:spacing w:beforeLines="50" w:afterLines="50" w:line="360" w:lineRule="auto"/>
        <w:rPr>
          <w:bCs w:val="0"/>
          <w:highlight w:val="none"/>
        </w:rPr>
      </w:pPr>
      <w:r>
        <w:rPr>
          <w:b w:val="0"/>
          <w:highlight w:val="none"/>
        </w:rPr>
        <w:br w:type="page"/>
      </w:r>
    </w:p>
    <w:p>
      <w:pPr>
        <w:pStyle w:val="5"/>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6"/>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49"/>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rPr>
          <w:rFonts w:ascii="宋体" w:hAnsi="宋体"/>
          <w:b w:val="0"/>
          <w:highlight w:val="none"/>
        </w:rPr>
      </w:pPr>
      <w:bookmarkStart w:id="232"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32"/>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1"/>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49"/>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49"/>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5"/>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748"/>
        <w:tab w:val="clear" w:pos="4153"/>
      </w:tabs>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748"/>
        <w:tab w:val="clear" w:pos="4153"/>
      </w:tabs>
      <w:rPr>
        <w:rFonts w:hint="default" w:eastAsia="宋体"/>
        <w:lang w:val="en-US" w:eastAsia="zh-CN"/>
      </w:rPr>
    </w:pPr>
    <w:r>
      <w:rPr>
        <w:rFonts w:hint="eastAsia"/>
        <w:lang w:val="en-US"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v:textbox>
            </v:shape>
          </w:pict>
        </mc:Fallback>
      </mc:AlternateContent>
    </w:r>
  </w:p>
  <w:p>
    <w:pPr>
      <w:pStyle w:val="2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1"/>
      </w:pBdr>
      <w:rPr>
        <w:rFonts w:ascii="楷体_GB2312" w:eastAsia="楷体_GB2312"/>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431CBB"/>
    <w:rsid w:val="015E0632"/>
    <w:rsid w:val="01C35271"/>
    <w:rsid w:val="01F976D7"/>
    <w:rsid w:val="0233386D"/>
    <w:rsid w:val="02634255"/>
    <w:rsid w:val="02886218"/>
    <w:rsid w:val="02942E4F"/>
    <w:rsid w:val="03341722"/>
    <w:rsid w:val="038E4979"/>
    <w:rsid w:val="039A4DF7"/>
    <w:rsid w:val="03D219A8"/>
    <w:rsid w:val="04504BAA"/>
    <w:rsid w:val="046E1FF1"/>
    <w:rsid w:val="04A465CA"/>
    <w:rsid w:val="04A83D5C"/>
    <w:rsid w:val="04AB3E06"/>
    <w:rsid w:val="04D2457A"/>
    <w:rsid w:val="0529159F"/>
    <w:rsid w:val="052971A9"/>
    <w:rsid w:val="056D53F7"/>
    <w:rsid w:val="05845F97"/>
    <w:rsid w:val="05A625A8"/>
    <w:rsid w:val="05AF3B52"/>
    <w:rsid w:val="05F23A3F"/>
    <w:rsid w:val="0627655E"/>
    <w:rsid w:val="06284810"/>
    <w:rsid w:val="062E0F1B"/>
    <w:rsid w:val="068A0CFC"/>
    <w:rsid w:val="068A7901"/>
    <w:rsid w:val="068B011B"/>
    <w:rsid w:val="0701218C"/>
    <w:rsid w:val="07421F74"/>
    <w:rsid w:val="07C949EF"/>
    <w:rsid w:val="07F20B13"/>
    <w:rsid w:val="08000695"/>
    <w:rsid w:val="093E2FA0"/>
    <w:rsid w:val="09673E3C"/>
    <w:rsid w:val="0A7A0DEE"/>
    <w:rsid w:val="0A8F788E"/>
    <w:rsid w:val="0AAE4A96"/>
    <w:rsid w:val="0AC666F4"/>
    <w:rsid w:val="0BE24C15"/>
    <w:rsid w:val="0BFE1539"/>
    <w:rsid w:val="0C3628D7"/>
    <w:rsid w:val="0CD3116D"/>
    <w:rsid w:val="0D386468"/>
    <w:rsid w:val="0D6E6CE6"/>
    <w:rsid w:val="0E06452B"/>
    <w:rsid w:val="0E577D2E"/>
    <w:rsid w:val="0E6F3E7F"/>
    <w:rsid w:val="0E713A23"/>
    <w:rsid w:val="0E87566C"/>
    <w:rsid w:val="0E9F5982"/>
    <w:rsid w:val="0EB94C51"/>
    <w:rsid w:val="0ED14AB9"/>
    <w:rsid w:val="0EE76E01"/>
    <w:rsid w:val="0F16079E"/>
    <w:rsid w:val="0F856602"/>
    <w:rsid w:val="0FF10C12"/>
    <w:rsid w:val="10230F9F"/>
    <w:rsid w:val="105869E8"/>
    <w:rsid w:val="11081A68"/>
    <w:rsid w:val="111B15B3"/>
    <w:rsid w:val="11FF551A"/>
    <w:rsid w:val="12004308"/>
    <w:rsid w:val="12187FE5"/>
    <w:rsid w:val="121C71A1"/>
    <w:rsid w:val="125A3535"/>
    <w:rsid w:val="12A52565"/>
    <w:rsid w:val="12CC61CB"/>
    <w:rsid w:val="12F2507E"/>
    <w:rsid w:val="136B7B23"/>
    <w:rsid w:val="13CF39F0"/>
    <w:rsid w:val="144900B5"/>
    <w:rsid w:val="14562003"/>
    <w:rsid w:val="14B85155"/>
    <w:rsid w:val="14DC364E"/>
    <w:rsid w:val="152534E9"/>
    <w:rsid w:val="15722832"/>
    <w:rsid w:val="16980C4D"/>
    <w:rsid w:val="171E7F58"/>
    <w:rsid w:val="17C42F61"/>
    <w:rsid w:val="18433A70"/>
    <w:rsid w:val="18695DE3"/>
    <w:rsid w:val="18FE400A"/>
    <w:rsid w:val="195F062F"/>
    <w:rsid w:val="19865777"/>
    <w:rsid w:val="199267D4"/>
    <w:rsid w:val="1A1230F5"/>
    <w:rsid w:val="1A7C33E6"/>
    <w:rsid w:val="1A932AD1"/>
    <w:rsid w:val="1ABF7F3C"/>
    <w:rsid w:val="1ADF74F2"/>
    <w:rsid w:val="1BE11CE9"/>
    <w:rsid w:val="1C2D1651"/>
    <w:rsid w:val="1C6B059D"/>
    <w:rsid w:val="1CB32E02"/>
    <w:rsid w:val="1D0E6F59"/>
    <w:rsid w:val="1DA85478"/>
    <w:rsid w:val="1DD23B6F"/>
    <w:rsid w:val="1DD3548B"/>
    <w:rsid w:val="1DED21D8"/>
    <w:rsid w:val="1E470A31"/>
    <w:rsid w:val="1E7B1372"/>
    <w:rsid w:val="1EAB0E98"/>
    <w:rsid w:val="1F0E3DA5"/>
    <w:rsid w:val="1F1442A1"/>
    <w:rsid w:val="1F7F74E9"/>
    <w:rsid w:val="1FB2006F"/>
    <w:rsid w:val="202F2035"/>
    <w:rsid w:val="205F5ACC"/>
    <w:rsid w:val="20CE49AC"/>
    <w:rsid w:val="217F21D3"/>
    <w:rsid w:val="2180567D"/>
    <w:rsid w:val="21C61BB0"/>
    <w:rsid w:val="21ED35E0"/>
    <w:rsid w:val="22C35EAF"/>
    <w:rsid w:val="22C80A00"/>
    <w:rsid w:val="22C975B7"/>
    <w:rsid w:val="22DD59F0"/>
    <w:rsid w:val="22F75C0D"/>
    <w:rsid w:val="23064301"/>
    <w:rsid w:val="230C5CE8"/>
    <w:rsid w:val="23DB58A8"/>
    <w:rsid w:val="23EC2634"/>
    <w:rsid w:val="23F064FA"/>
    <w:rsid w:val="241053A1"/>
    <w:rsid w:val="2432177F"/>
    <w:rsid w:val="245060A9"/>
    <w:rsid w:val="24C20D54"/>
    <w:rsid w:val="25114177"/>
    <w:rsid w:val="25C96113"/>
    <w:rsid w:val="25DC4792"/>
    <w:rsid w:val="26097A28"/>
    <w:rsid w:val="26CB345B"/>
    <w:rsid w:val="26CC5F32"/>
    <w:rsid w:val="271D4472"/>
    <w:rsid w:val="271D5F0A"/>
    <w:rsid w:val="27380A52"/>
    <w:rsid w:val="27512060"/>
    <w:rsid w:val="276C144B"/>
    <w:rsid w:val="27E44D0D"/>
    <w:rsid w:val="287D3B77"/>
    <w:rsid w:val="288C0557"/>
    <w:rsid w:val="290F7096"/>
    <w:rsid w:val="29785528"/>
    <w:rsid w:val="29B91980"/>
    <w:rsid w:val="29FE0832"/>
    <w:rsid w:val="2A03289A"/>
    <w:rsid w:val="2A1738F0"/>
    <w:rsid w:val="2A7C761D"/>
    <w:rsid w:val="2A956595"/>
    <w:rsid w:val="2AA74552"/>
    <w:rsid w:val="2B0F6376"/>
    <w:rsid w:val="2B150AFA"/>
    <w:rsid w:val="2B1A7EED"/>
    <w:rsid w:val="2BAA0794"/>
    <w:rsid w:val="2C0B2FF9"/>
    <w:rsid w:val="2C215763"/>
    <w:rsid w:val="2C4F7571"/>
    <w:rsid w:val="2C595A50"/>
    <w:rsid w:val="2C6F6E1A"/>
    <w:rsid w:val="2D0D3F02"/>
    <w:rsid w:val="2D8065EB"/>
    <w:rsid w:val="2DCF44E2"/>
    <w:rsid w:val="2DE60E55"/>
    <w:rsid w:val="2E1B296B"/>
    <w:rsid w:val="2E262354"/>
    <w:rsid w:val="2E552C39"/>
    <w:rsid w:val="2F5015CC"/>
    <w:rsid w:val="2F716E18"/>
    <w:rsid w:val="2F8301FF"/>
    <w:rsid w:val="300A4285"/>
    <w:rsid w:val="300B11EA"/>
    <w:rsid w:val="307C1216"/>
    <w:rsid w:val="30843362"/>
    <w:rsid w:val="30CA6DC7"/>
    <w:rsid w:val="310060D1"/>
    <w:rsid w:val="323B399B"/>
    <w:rsid w:val="326276D3"/>
    <w:rsid w:val="32701EF4"/>
    <w:rsid w:val="32B258B7"/>
    <w:rsid w:val="33900F89"/>
    <w:rsid w:val="339A10EE"/>
    <w:rsid w:val="33B757FC"/>
    <w:rsid w:val="33B83430"/>
    <w:rsid w:val="3437693D"/>
    <w:rsid w:val="34F4272D"/>
    <w:rsid w:val="34FA5C45"/>
    <w:rsid w:val="354F1F69"/>
    <w:rsid w:val="35706796"/>
    <w:rsid w:val="35A55262"/>
    <w:rsid w:val="35C91DF7"/>
    <w:rsid w:val="36623A07"/>
    <w:rsid w:val="368E7B3A"/>
    <w:rsid w:val="3699568D"/>
    <w:rsid w:val="36CA5847"/>
    <w:rsid w:val="37141D64"/>
    <w:rsid w:val="371F2036"/>
    <w:rsid w:val="37602AF2"/>
    <w:rsid w:val="37FA4622"/>
    <w:rsid w:val="3816405B"/>
    <w:rsid w:val="38593F37"/>
    <w:rsid w:val="38A7470F"/>
    <w:rsid w:val="38C26B8B"/>
    <w:rsid w:val="392A3F1E"/>
    <w:rsid w:val="399D50C7"/>
    <w:rsid w:val="3A694D6F"/>
    <w:rsid w:val="3A7E52C6"/>
    <w:rsid w:val="3A9E1102"/>
    <w:rsid w:val="3AA6016F"/>
    <w:rsid w:val="3AC57D1E"/>
    <w:rsid w:val="3AF236EA"/>
    <w:rsid w:val="3B273268"/>
    <w:rsid w:val="3B325E0E"/>
    <w:rsid w:val="3B626996"/>
    <w:rsid w:val="3B787F67"/>
    <w:rsid w:val="3B9C25DB"/>
    <w:rsid w:val="3BBB2D8E"/>
    <w:rsid w:val="3C0C41CA"/>
    <w:rsid w:val="3C6C5B13"/>
    <w:rsid w:val="3C9932CE"/>
    <w:rsid w:val="3D3B749E"/>
    <w:rsid w:val="3DB03FCF"/>
    <w:rsid w:val="3DDE7B5E"/>
    <w:rsid w:val="3DF276BA"/>
    <w:rsid w:val="3DFC38D5"/>
    <w:rsid w:val="3E1E016D"/>
    <w:rsid w:val="3E280DCC"/>
    <w:rsid w:val="3E442382"/>
    <w:rsid w:val="3ED25651"/>
    <w:rsid w:val="3EE746A5"/>
    <w:rsid w:val="3FC312FA"/>
    <w:rsid w:val="402D6024"/>
    <w:rsid w:val="40442077"/>
    <w:rsid w:val="405F5F3D"/>
    <w:rsid w:val="40724C8A"/>
    <w:rsid w:val="40BE1D68"/>
    <w:rsid w:val="41245898"/>
    <w:rsid w:val="417C1216"/>
    <w:rsid w:val="41970A1B"/>
    <w:rsid w:val="419C088D"/>
    <w:rsid w:val="41A5138A"/>
    <w:rsid w:val="41D775CC"/>
    <w:rsid w:val="421C2D0B"/>
    <w:rsid w:val="423B7BF3"/>
    <w:rsid w:val="42564F1D"/>
    <w:rsid w:val="42811435"/>
    <w:rsid w:val="42A17421"/>
    <w:rsid w:val="42A81B49"/>
    <w:rsid w:val="42B86E9B"/>
    <w:rsid w:val="431762B8"/>
    <w:rsid w:val="43521E0D"/>
    <w:rsid w:val="43B241F5"/>
    <w:rsid w:val="4420585E"/>
    <w:rsid w:val="4427077C"/>
    <w:rsid w:val="448252F0"/>
    <w:rsid w:val="450300EA"/>
    <w:rsid w:val="456E13BB"/>
    <w:rsid w:val="464F1B31"/>
    <w:rsid w:val="46B861C6"/>
    <w:rsid w:val="47A65E5C"/>
    <w:rsid w:val="47C00CCC"/>
    <w:rsid w:val="47D66741"/>
    <w:rsid w:val="48194B54"/>
    <w:rsid w:val="48C60564"/>
    <w:rsid w:val="48D159B4"/>
    <w:rsid w:val="49042E3A"/>
    <w:rsid w:val="49470950"/>
    <w:rsid w:val="49494CF1"/>
    <w:rsid w:val="49974BFF"/>
    <w:rsid w:val="4A5E1642"/>
    <w:rsid w:val="4BD50ABE"/>
    <w:rsid w:val="4C001FDF"/>
    <w:rsid w:val="4C1B3933"/>
    <w:rsid w:val="4CF51CDC"/>
    <w:rsid w:val="4DBD6AAD"/>
    <w:rsid w:val="4DC42B98"/>
    <w:rsid w:val="4E0968FA"/>
    <w:rsid w:val="4E611192"/>
    <w:rsid w:val="4EB94800"/>
    <w:rsid w:val="4F216BBF"/>
    <w:rsid w:val="4F9A62A6"/>
    <w:rsid w:val="4FD44A3C"/>
    <w:rsid w:val="50F32112"/>
    <w:rsid w:val="514D61C2"/>
    <w:rsid w:val="518A6447"/>
    <w:rsid w:val="52293911"/>
    <w:rsid w:val="522B5E7C"/>
    <w:rsid w:val="523E5075"/>
    <w:rsid w:val="52421257"/>
    <w:rsid w:val="527514EF"/>
    <w:rsid w:val="531558BC"/>
    <w:rsid w:val="53470B4A"/>
    <w:rsid w:val="53C90724"/>
    <w:rsid w:val="53EB539E"/>
    <w:rsid w:val="5422054D"/>
    <w:rsid w:val="54A320E7"/>
    <w:rsid w:val="54D11CCC"/>
    <w:rsid w:val="550B6A44"/>
    <w:rsid w:val="55120D38"/>
    <w:rsid w:val="55CD509B"/>
    <w:rsid w:val="56014384"/>
    <w:rsid w:val="565B21A0"/>
    <w:rsid w:val="56710C02"/>
    <w:rsid w:val="568E7108"/>
    <w:rsid w:val="56CE6835"/>
    <w:rsid w:val="572A5C41"/>
    <w:rsid w:val="572B120F"/>
    <w:rsid w:val="57580F21"/>
    <w:rsid w:val="581D0BB1"/>
    <w:rsid w:val="58246C6C"/>
    <w:rsid w:val="584828C6"/>
    <w:rsid w:val="58FA10C1"/>
    <w:rsid w:val="59A23A51"/>
    <w:rsid w:val="59B73BAB"/>
    <w:rsid w:val="59C363FA"/>
    <w:rsid w:val="5A113609"/>
    <w:rsid w:val="5A272B8F"/>
    <w:rsid w:val="5AC972D7"/>
    <w:rsid w:val="5ACA4DFD"/>
    <w:rsid w:val="5B0176E4"/>
    <w:rsid w:val="5B3915C3"/>
    <w:rsid w:val="5B9A423C"/>
    <w:rsid w:val="5BC902FB"/>
    <w:rsid w:val="5C375766"/>
    <w:rsid w:val="5C3F4F6D"/>
    <w:rsid w:val="5D445AA3"/>
    <w:rsid w:val="5E714676"/>
    <w:rsid w:val="5E9D546B"/>
    <w:rsid w:val="5EAD0BB0"/>
    <w:rsid w:val="5ED209B4"/>
    <w:rsid w:val="5F690E4C"/>
    <w:rsid w:val="601F69F6"/>
    <w:rsid w:val="60752C67"/>
    <w:rsid w:val="612754C0"/>
    <w:rsid w:val="613A3445"/>
    <w:rsid w:val="616049DB"/>
    <w:rsid w:val="61831D11"/>
    <w:rsid w:val="61C14B50"/>
    <w:rsid w:val="61DC2CD7"/>
    <w:rsid w:val="61FE3C40"/>
    <w:rsid w:val="6235591B"/>
    <w:rsid w:val="62395966"/>
    <w:rsid w:val="62B17737"/>
    <w:rsid w:val="63415520"/>
    <w:rsid w:val="636150A9"/>
    <w:rsid w:val="637D05D7"/>
    <w:rsid w:val="63EE6769"/>
    <w:rsid w:val="640F0BB9"/>
    <w:rsid w:val="646C70CD"/>
    <w:rsid w:val="650F19B1"/>
    <w:rsid w:val="6562503C"/>
    <w:rsid w:val="663B22BC"/>
    <w:rsid w:val="663F7051"/>
    <w:rsid w:val="66A9597C"/>
    <w:rsid w:val="66AB3A44"/>
    <w:rsid w:val="66C876C1"/>
    <w:rsid w:val="670F4827"/>
    <w:rsid w:val="676A4F57"/>
    <w:rsid w:val="67B5251D"/>
    <w:rsid w:val="67C365D4"/>
    <w:rsid w:val="67E548D9"/>
    <w:rsid w:val="687716F6"/>
    <w:rsid w:val="690D143F"/>
    <w:rsid w:val="69713AF2"/>
    <w:rsid w:val="69F745C9"/>
    <w:rsid w:val="6A0359B4"/>
    <w:rsid w:val="6A114F5F"/>
    <w:rsid w:val="6A65190A"/>
    <w:rsid w:val="6B051551"/>
    <w:rsid w:val="6B25645F"/>
    <w:rsid w:val="6BB74E52"/>
    <w:rsid w:val="6BEA3CC1"/>
    <w:rsid w:val="6C040369"/>
    <w:rsid w:val="6C8C6991"/>
    <w:rsid w:val="6CCF512C"/>
    <w:rsid w:val="6E65769A"/>
    <w:rsid w:val="6EFA0BA6"/>
    <w:rsid w:val="6F044005"/>
    <w:rsid w:val="6F5C2AB8"/>
    <w:rsid w:val="6FB40D90"/>
    <w:rsid w:val="6FBD737D"/>
    <w:rsid w:val="70AE3C96"/>
    <w:rsid w:val="70E01533"/>
    <w:rsid w:val="70E114A5"/>
    <w:rsid w:val="71235408"/>
    <w:rsid w:val="714E5FA0"/>
    <w:rsid w:val="71593474"/>
    <w:rsid w:val="72442975"/>
    <w:rsid w:val="72B02765"/>
    <w:rsid w:val="72FD69EC"/>
    <w:rsid w:val="73965D07"/>
    <w:rsid w:val="739E3D02"/>
    <w:rsid w:val="73BD1BDB"/>
    <w:rsid w:val="740551C7"/>
    <w:rsid w:val="74A159DA"/>
    <w:rsid w:val="756E3C30"/>
    <w:rsid w:val="75FF5737"/>
    <w:rsid w:val="76796366"/>
    <w:rsid w:val="769D686B"/>
    <w:rsid w:val="77662A1A"/>
    <w:rsid w:val="78064733"/>
    <w:rsid w:val="781656AF"/>
    <w:rsid w:val="78FC0EC8"/>
    <w:rsid w:val="792602AC"/>
    <w:rsid w:val="7A3A36CD"/>
    <w:rsid w:val="7A4153ED"/>
    <w:rsid w:val="7ABD27F2"/>
    <w:rsid w:val="7ADE0C6C"/>
    <w:rsid w:val="7B7A36AA"/>
    <w:rsid w:val="7B9E6ACC"/>
    <w:rsid w:val="7BF546E1"/>
    <w:rsid w:val="7C1A6B80"/>
    <w:rsid w:val="7C4D62CB"/>
    <w:rsid w:val="7C5424EB"/>
    <w:rsid w:val="7CB9570E"/>
    <w:rsid w:val="7D897DBC"/>
    <w:rsid w:val="7D8C30D2"/>
    <w:rsid w:val="7DFF5695"/>
    <w:rsid w:val="7E3037AE"/>
    <w:rsid w:val="7E3D56A8"/>
    <w:rsid w:val="7E435CE9"/>
    <w:rsid w:val="7EEB12D3"/>
    <w:rsid w:val="7F0402B4"/>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0"/>
    <w:qFormat/>
    <w:uiPriority w:val="0"/>
    <w:pPr>
      <w:keepNext/>
      <w:jc w:val="center"/>
      <w:outlineLvl w:val="0"/>
    </w:pPr>
    <w:rPr>
      <w:b/>
      <w:bCs/>
      <w:sz w:val="24"/>
      <w:szCs w:val="20"/>
    </w:rPr>
  </w:style>
  <w:style w:type="paragraph" w:styleId="3">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4">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5">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7">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8">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9">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0">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unhideWhenUsed/>
    <w:qFormat/>
    <w:uiPriority w:val="1"/>
  </w:style>
  <w:style w:type="table" w:default="1" w:styleId="41">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2">
    <w:name w:val="Normal Indent"/>
    <w:basedOn w:val="1"/>
    <w:qFormat/>
    <w:uiPriority w:val="0"/>
    <w:pPr>
      <w:widowControl/>
      <w:ind w:firstLine="420"/>
      <w:jc w:val="left"/>
    </w:pPr>
    <w:rPr>
      <w:kern w:val="0"/>
      <w:sz w:val="20"/>
      <w:szCs w:val="20"/>
    </w:rPr>
  </w:style>
  <w:style w:type="paragraph" w:styleId="13">
    <w:name w:val="Document Map"/>
    <w:basedOn w:val="1"/>
    <w:link w:val="82"/>
    <w:semiHidden/>
    <w:qFormat/>
    <w:uiPriority w:val="0"/>
    <w:pPr>
      <w:shd w:val="clear" w:color="auto" w:fill="000080"/>
    </w:pPr>
  </w:style>
  <w:style w:type="paragraph" w:styleId="14">
    <w:name w:val="annotation text"/>
    <w:basedOn w:val="1"/>
    <w:link w:val="66"/>
    <w:qFormat/>
    <w:uiPriority w:val="0"/>
    <w:pPr>
      <w:jc w:val="left"/>
    </w:pPr>
  </w:style>
  <w:style w:type="paragraph" w:styleId="15">
    <w:name w:val="Salutation"/>
    <w:basedOn w:val="1"/>
    <w:next w:val="1"/>
    <w:link w:val="71"/>
    <w:qFormat/>
    <w:uiPriority w:val="0"/>
    <w:rPr>
      <w:rFonts w:ascii="仿宋_GB2312" w:eastAsia="仿宋_GB2312"/>
      <w:sz w:val="24"/>
    </w:rPr>
  </w:style>
  <w:style w:type="paragraph" w:styleId="16">
    <w:name w:val="Body Text"/>
    <w:basedOn w:val="1"/>
    <w:next w:val="1"/>
    <w:link w:val="60"/>
    <w:qFormat/>
    <w:uiPriority w:val="99"/>
    <w:pPr>
      <w:spacing w:after="120"/>
    </w:p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4"/>
    <w:next w:val="14"/>
    <w:link w:val="88"/>
    <w:qFormat/>
    <w:uiPriority w:val="0"/>
    <w:rPr>
      <w:b/>
      <w:bCs/>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Char"/>
    <w:basedOn w:val="43"/>
    <w:link w:val="2"/>
    <w:qFormat/>
    <w:uiPriority w:val="0"/>
    <w:rPr>
      <w:rFonts w:ascii="Times New Roman" w:hAnsi="Times New Roman" w:eastAsia="宋体" w:cs="Times New Roman"/>
      <w:b/>
      <w:bCs/>
      <w:sz w:val="24"/>
      <w:szCs w:val="20"/>
    </w:rPr>
  </w:style>
  <w:style w:type="character" w:customStyle="1" w:styleId="51">
    <w:name w:val="标题 2 Char"/>
    <w:basedOn w:val="43"/>
    <w:link w:val="3"/>
    <w:qFormat/>
    <w:uiPriority w:val="0"/>
    <w:rPr>
      <w:rFonts w:ascii="Arial" w:hAnsi="Arial" w:eastAsia="方正小标宋简体" w:cs="Times New Roman"/>
      <w:b/>
      <w:bCs/>
      <w:kern w:val="2"/>
      <w:sz w:val="44"/>
      <w:szCs w:val="32"/>
    </w:rPr>
  </w:style>
  <w:style w:type="character" w:customStyle="1" w:styleId="52">
    <w:name w:val="标题 3 Char"/>
    <w:basedOn w:val="43"/>
    <w:link w:val="4"/>
    <w:qFormat/>
    <w:uiPriority w:val="0"/>
    <w:rPr>
      <w:rFonts w:ascii="Times New Roman" w:hAnsi="Times New Roman" w:eastAsia="黑体" w:cs="Times New Roman"/>
      <w:b/>
      <w:bCs/>
      <w:kern w:val="2"/>
      <w:sz w:val="32"/>
      <w:szCs w:val="32"/>
    </w:rPr>
  </w:style>
  <w:style w:type="character" w:customStyle="1" w:styleId="53">
    <w:name w:val="标题 4 Char"/>
    <w:basedOn w:val="43"/>
    <w:link w:val="5"/>
    <w:qFormat/>
    <w:uiPriority w:val="0"/>
    <w:rPr>
      <w:rFonts w:ascii="Arial" w:hAnsi="Arial" w:eastAsia="黑体" w:cs="Times New Roman"/>
      <w:b/>
      <w:bCs/>
      <w:sz w:val="28"/>
      <w:szCs w:val="28"/>
    </w:rPr>
  </w:style>
  <w:style w:type="character" w:customStyle="1" w:styleId="54">
    <w:name w:val="标题 5 Char"/>
    <w:basedOn w:val="43"/>
    <w:link w:val="6"/>
    <w:qFormat/>
    <w:uiPriority w:val="0"/>
    <w:rPr>
      <w:rFonts w:ascii="Times New Roman" w:hAnsi="Times New Roman" w:eastAsia="宋体" w:cs="Times New Roman"/>
      <w:b/>
      <w:bCs/>
      <w:kern w:val="0"/>
      <w:sz w:val="28"/>
      <w:szCs w:val="28"/>
    </w:rPr>
  </w:style>
  <w:style w:type="character" w:customStyle="1" w:styleId="55">
    <w:name w:val="标题 6 Char"/>
    <w:basedOn w:val="43"/>
    <w:link w:val="7"/>
    <w:qFormat/>
    <w:uiPriority w:val="0"/>
    <w:rPr>
      <w:rFonts w:ascii="Arial" w:hAnsi="Arial" w:eastAsia="黑体" w:cs="Times New Roman"/>
      <w:b/>
      <w:bCs/>
      <w:kern w:val="0"/>
      <w:sz w:val="24"/>
      <w:szCs w:val="24"/>
    </w:rPr>
  </w:style>
  <w:style w:type="character" w:customStyle="1" w:styleId="56">
    <w:name w:val="标题 7 Char"/>
    <w:basedOn w:val="43"/>
    <w:link w:val="8"/>
    <w:qFormat/>
    <w:uiPriority w:val="0"/>
    <w:rPr>
      <w:rFonts w:ascii="Times New Roman" w:hAnsi="Times New Roman" w:eastAsia="宋体" w:cs="Times New Roman"/>
      <w:b/>
      <w:bCs/>
      <w:kern w:val="0"/>
      <w:sz w:val="24"/>
      <w:szCs w:val="24"/>
    </w:rPr>
  </w:style>
  <w:style w:type="character" w:customStyle="1" w:styleId="57">
    <w:name w:val="标题 8 Char"/>
    <w:basedOn w:val="43"/>
    <w:link w:val="9"/>
    <w:qFormat/>
    <w:uiPriority w:val="0"/>
    <w:rPr>
      <w:rFonts w:ascii="Arial" w:hAnsi="Arial" w:eastAsia="黑体" w:cs="Times New Roman"/>
      <w:kern w:val="0"/>
      <w:sz w:val="24"/>
      <w:szCs w:val="24"/>
    </w:rPr>
  </w:style>
  <w:style w:type="character" w:customStyle="1" w:styleId="58">
    <w:name w:val="标题 9 Char"/>
    <w:basedOn w:val="43"/>
    <w:link w:val="10"/>
    <w:qFormat/>
    <w:uiPriority w:val="0"/>
    <w:rPr>
      <w:rFonts w:ascii="Arial" w:hAnsi="Arial" w:eastAsia="黑体" w:cs="Times New Roman"/>
      <w:kern w:val="0"/>
      <w:szCs w:val="21"/>
    </w:rPr>
  </w:style>
  <w:style w:type="paragraph" w:customStyle="1" w:styleId="59">
    <w:name w:val="表格内容"/>
    <w:basedOn w:val="16"/>
    <w:qFormat/>
    <w:uiPriority w:val="0"/>
    <w:pPr>
      <w:suppressLineNumbers/>
      <w:suppressAutoHyphens/>
      <w:jc w:val="left"/>
    </w:pPr>
    <w:rPr>
      <w:rFonts w:cs="Tahoma"/>
      <w:kern w:val="0"/>
      <w:sz w:val="24"/>
    </w:rPr>
  </w:style>
  <w:style w:type="character" w:customStyle="1" w:styleId="60">
    <w:name w:val="正文文本 Char"/>
    <w:basedOn w:val="43"/>
    <w:link w:val="16"/>
    <w:qFormat/>
    <w:uiPriority w:val="0"/>
    <w:rPr>
      <w:rFonts w:ascii="Times New Roman" w:hAnsi="Times New Roman" w:eastAsia="宋体" w:cs="Times New Roman"/>
      <w:szCs w:val="24"/>
    </w:rPr>
  </w:style>
  <w:style w:type="character" w:customStyle="1" w:styleId="61">
    <w:name w:val="页脚 Char"/>
    <w:basedOn w:val="43"/>
    <w:link w:val="26"/>
    <w:qFormat/>
    <w:uiPriority w:val="99"/>
    <w:rPr>
      <w:rFonts w:ascii="Times New Roman" w:hAnsi="Times New Roman" w:eastAsia="宋体" w:cs="Times New Roman"/>
      <w:sz w:val="18"/>
      <w:szCs w:val="18"/>
    </w:rPr>
  </w:style>
  <w:style w:type="character" w:customStyle="1" w:styleId="62">
    <w:name w:val="页眉 Char"/>
    <w:basedOn w:val="43"/>
    <w:link w:val="27"/>
    <w:qFormat/>
    <w:uiPriority w:val="99"/>
    <w:rPr>
      <w:rFonts w:ascii="Times New Roman" w:hAnsi="Times New Roman" w:eastAsia="宋体" w:cs="Times New Roman"/>
      <w:sz w:val="18"/>
      <w:szCs w:val="18"/>
    </w:rPr>
  </w:style>
  <w:style w:type="character" w:customStyle="1" w:styleId="63">
    <w:name w:val="正文文本缩进 Char"/>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3"/>
    <w:link w:val="21"/>
    <w:qFormat/>
    <w:uiPriority w:val="0"/>
    <w:rPr>
      <w:rFonts w:ascii="宋体" w:hAnsi="Courier New" w:eastAsia="宋体" w:cs="Courier New"/>
      <w:szCs w:val="21"/>
    </w:rPr>
  </w:style>
  <w:style w:type="character" w:customStyle="1" w:styleId="66">
    <w:name w:val="批注文字 Char"/>
    <w:basedOn w:val="43"/>
    <w:link w:val="14"/>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3"/>
    <w:link w:val="36"/>
    <w:qFormat/>
    <w:uiPriority w:val="0"/>
    <w:rPr>
      <w:rFonts w:ascii="Arial" w:hAnsi="Arial" w:eastAsia="宋体" w:cs="Arial"/>
      <w:kern w:val="0"/>
      <w:sz w:val="24"/>
      <w:szCs w:val="24"/>
    </w:rPr>
  </w:style>
  <w:style w:type="character" w:customStyle="1" w:styleId="71">
    <w:name w:val="称呼 Char"/>
    <w:basedOn w:val="43"/>
    <w:link w:val="15"/>
    <w:qFormat/>
    <w:uiPriority w:val="0"/>
    <w:rPr>
      <w:rFonts w:ascii="仿宋_GB2312" w:hAnsi="Times New Roman" w:eastAsia="仿宋_GB2312" w:cs="Times New Roman"/>
      <w:sz w:val="24"/>
      <w:szCs w:val="24"/>
    </w:rPr>
  </w:style>
  <w:style w:type="character" w:customStyle="1" w:styleId="72">
    <w:name w:val="正文文本 2 Char"/>
    <w:basedOn w:val="43"/>
    <w:link w:val="35"/>
    <w:qFormat/>
    <w:uiPriority w:val="0"/>
    <w:rPr>
      <w:rFonts w:ascii="Times New Roman" w:hAnsi="Times New Roman" w:eastAsia="宋体" w:cs="Times New Roman"/>
      <w:szCs w:val="24"/>
    </w:rPr>
  </w:style>
  <w:style w:type="character" w:customStyle="1" w:styleId="73">
    <w:name w:val="正文文本缩进 2 Char"/>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3"/>
    <w:link w:val="32"/>
    <w:qFormat/>
    <w:uiPriority w:val="0"/>
    <w:rPr>
      <w:rFonts w:ascii="Times New Roman" w:hAnsi="Times New Roman" w:eastAsia="宋体" w:cs="Times New Roman"/>
      <w:sz w:val="16"/>
      <w:szCs w:val="16"/>
    </w:rPr>
  </w:style>
  <w:style w:type="character" w:customStyle="1" w:styleId="76">
    <w:name w:val="日期 Char"/>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3"/>
    <w:qFormat/>
    <w:uiPriority w:val="0"/>
    <w:rPr>
      <w:rFonts w:ascii="Tahoma" w:hAnsi="Tahoma"/>
    </w:rPr>
  </w:style>
  <w:style w:type="character" w:customStyle="1" w:styleId="82">
    <w:name w:val="文档结构图 Char"/>
    <w:basedOn w:val="43"/>
    <w:link w:val="13"/>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3"/>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2"/>
    <w:next w:val="1"/>
    <w:qFormat/>
    <w:uiPriority w:val="0"/>
    <w:pPr>
      <w:keepLines/>
      <w:spacing w:line="600" w:lineRule="auto"/>
    </w:pPr>
    <w:rPr>
      <w:rFonts w:eastAsia="黑体"/>
      <w:kern w:val="0"/>
      <w:sz w:val="32"/>
      <w:szCs w:val="32"/>
    </w:rPr>
  </w:style>
  <w:style w:type="character" w:customStyle="1" w:styleId="88">
    <w:name w:val="批注主题 Char"/>
    <w:basedOn w:val="66"/>
    <w:link w:val="40"/>
    <w:qFormat/>
    <w:uiPriority w:val="0"/>
    <w:rPr>
      <w:rFonts w:ascii="Times New Roman" w:hAnsi="Times New Roman" w:eastAsia="宋体" w:cs="Times New Roman"/>
      <w:b/>
      <w:bCs/>
      <w:szCs w:val="24"/>
    </w:rPr>
  </w:style>
  <w:style w:type="character" w:customStyle="1" w:styleId="89">
    <w:name w:val="批注框文本 Char"/>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3"/>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2"/>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2"/>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2"/>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Char1"/>
    <w:link w:val="30"/>
    <w:qFormat/>
    <w:uiPriority w:val="0"/>
    <w:rPr>
      <w:rFonts w:ascii="等线 Light" w:hAnsi="等线 Light" w:eastAsia="宋体" w:cs="Times New Roman"/>
      <w:b/>
      <w:bCs/>
      <w:kern w:val="28"/>
      <w:sz w:val="32"/>
      <w:szCs w:val="32"/>
    </w:rPr>
  </w:style>
  <w:style w:type="character" w:customStyle="1" w:styleId="143">
    <w:name w:val="未处理的提及1"/>
    <w:basedOn w:val="43"/>
    <w:unhideWhenUsed/>
    <w:qFormat/>
    <w:uiPriority w:val="99"/>
    <w:rPr>
      <w:color w:val="605E5C"/>
      <w:shd w:val="clear" w:color="auto" w:fill="E1DFDD"/>
    </w:rPr>
  </w:style>
  <w:style w:type="character" w:customStyle="1" w:styleId="144">
    <w:name w:val="未处理的提及2"/>
    <w:basedOn w:val="43"/>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2"/>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3"/>
    <w:unhideWhenUsed/>
    <w:qFormat/>
    <w:uiPriority w:val="99"/>
    <w:rPr>
      <w:color w:val="605E5C"/>
      <w:shd w:val="clear" w:color="auto" w:fill="E1DFDD"/>
    </w:rPr>
  </w:style>
  <w:style w:type="character" w:customStyle="1" w:styleId="151">
    <w:name w:val="font51"/>
    <w:basedOn w:val="43"/>
    <w:qFormat/>
    <w:uiPriority w:val="0"/>
    <w:rPr>
      <w:rFonts w:hint="eastAsia" w:ascii="宋体" w:hAnsi="宋体" w:eastAsia="宋体" w:cs="宋体"/>
      <w:color w:val="000000"/>
      <w:sz w:val="22"/>
      <w:szCs w:val="22"/>
      <w:u w:val="none"/>
    </w:rPr>
  </w:style>
  <w:style w:type="character" w:customStyle="1" w:styleId="152">
    <w:name w:val="font61"/>
    <w:basedOn w:val="43"/>
    <w:qFormat/>
    <w:uiPriority w:val="0"/>
    <w:rPr>
      <w:rFonts w:hint="default" w:ascii="Times New Roman" w:hAnsi="Times New Roman" w:cs="Times New Roman"/>
      <w:color w:val="000000"/>
      <w:sz w:val="24"/>
      <w:szCs w:val="24"/>
      <w:u w:val="none"/>
    </w:rPr>
  </w:style>
  <w:style w:type="character" w:customStyle="1" w:styleId="153">
    <w:name w:val="font71"/>
    <w:basedOn w:val="43"/>
    <w:qFormat/>
    <w:uiPriority w:val="0"/>
    <w:rPr>
      <w:rFonts w:hint="eastAsia" w:ascii="宋体" w:hAnsi="宋体" w:eastAsia="宋体" w:cs="宋体"/>
      <w:color w:val="000000"/>
      <w:sz w:val="24"/>
      <w:szCs w:val="24"/>
      <w:u w:val="none"/>
    </w:rPr>
  </w:style>
  <w:style w:type="character" w:customStyle="1" w:styleId="154">
    <w:name w:val="font31"/>
    <w:basedOn w:val="43"/>
    <w:qFormat/>
    <w:uiPriority w:val="0"/>
    <w:rPr>
      <w:rFonts w:hint="eastAsia" w:ascii="宋体" w:hAnsi="宋体" w:eastAsia="宋体" w:cs="宋体"/>
      <w:color w:val="000000"/>
      <w:sz w:val="24"/>
      <w:szCs w:val="24"/>
      <w:u w:val="none"/>
    </w:rPr>
  </w:style>
  <w:style w:type="character" w:customStyle="1" w:styleId="155">
    <w:name w:val="font01"/>
    <w:basedOn w:val="43"/>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3"/>
    <w:qFormat/>
    <w:uiPriority w:val="0"/>
    <w:rPr>
      <w:rFonts w:hint="default" w:ascii="Times New Roman" w:hAnsi="Times New Roman" w:cs="Times New Roman"/>
      <w:color w:val="000000"/>
      <w:sz w:val="24"/>
      <w:szCs w:val="24"/>
      <w:u w:val="none"/>
    </w:rPr>
  </w:style>
  <w:style w:type="character" w:customStyle="1" w:styleId="159">
    <w:name w:val="font11"/>
    <w:basedOn w:val="43"/>
    <w:qFormat/>
    <w:uiPriority w:val="0"/>
    <w:rPr>
      <w:rFonts w:hint="eastAsia" w:ascii="宋体" w:hAnsi="宋体" w:eastAsia="宋体" w:cs="宋体"/>
      <w:color w:val="000000"/>
      <w:sz w:val="24"/>
      <w:szCs w:val="24"/>
      <w:u w:val="none"/>
    </w:rPr>
  </w:style>
  <w:style w:type="character" w:customStyle="1" w:styleId="160">
    <w:name w:val="font121"/>
    <w:basedOn w:val="43"/>
    <w:qFormat/>
    <w:uiPriority w:val="0"/>
    <w:rPr>
      <w:rFonts w:hint="eastAsia" w:ascii="宋体" w:hAnsi="宋体" w:eastAsia="宋体" w:cs="宋体"/>
      <w:color w:val="000000"/>
      <w:sz w:val="40"/>
      <w:szCs w:val="40"/>
      <w:u w:val="none"/>
    </w:rPr>
  </w:style>
  <w:style w:type="character" w:customStyle="1" w:styleId="161">
    <w:name w:val="font41"/>
    <w:basedOn w:val="43"/>
    <w:qFormat/>
    <w:uiPriority w:val="0"/>
    <w:rPr>
      <w:rFonts w:hint="eastAsia" w:ascii="黑体" w:eastAsia="黑体" w:cs="黑体"/>
      <w:color w:val="000000"/>
      <w:sz w:val="20"/>
      <w:szCs w:val="20"/>
      <w:u w:val="none"/>
    </w:rPr>
  </w:style>
  <w:style w:type="character" w:customStyle="1" w:styleId="162">
    <w:name w:val="font101"/>
    <w:basedOn w:val="43"/>
    <w:qFormat/>
    <w:uiPriority w:val="0"/>
    <w:rPr>
      <w:rFonts w:ascii="Arial" w:hAnsi="Arial" w:cs="Arial"/>
      <w:color w:val="000000"/>
      <w:sz w:val="22"/>
      <w:szCs w:val="22"/>
      <w:u w:val="none"/>
    </w:rPr>
  </w:style>
  <w:style w:type="character" w:customStyle="1" w:styleId="163">
    <w:name w:val="font111"/>
    <w:basedOn w:val="43"/>
    <w:qFormat/>
    <w:uiPriority w:val="0"/>
    <w:rPr>
      <w:rFonts w:hint="eastAsia" w:ascii="宋体" w:hAnsi="宋体" w:eastAsia="宋体" w:cs="宋体"/>
      <w:color w:val="000000"/>
      <w:sz w:val="22"/>
      <w:szCs w:val="22"/>
      <w:u w:val="none"/>
    </w:rPr>
  </w:style>
  <w:style w:type="character" w:customStyle="1" w:styleId="164">
    <w:name w:val="font21"/>
    <w:basedOn w:val="43"/>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60</Pages>
  <Words>19425</Words>
  <Characters>20676</Characters>
  <Lines>339</Lines>
  <Paragraphs>95</Paragraphs>
  <TotalTime>10</TotalTime>
  <ScaleCrop>false</ScaleCrop>
  <LinksUpToDate>false</LinksUpToDate>
  <CharactersWithSpaces>23152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2025-03-14T08:49:00Z</cp:lastPrinted>
  <dcterms:modified xsi:type="dcterms:W3CDTF">2025-04-21T01:29:41Z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