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eastAsia="zh-CN"/>
        </w:rPr>
      </w:pPr>
    </w:p>
    <w:tbl>
      <w:tblPr>
        <w:tblStyle w:val="4"/>
        <w:tblW w:w="9585" w:type="dxa"/>
        <w:jc w:val="center"/>
        <w:tblInd w:w="-62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9"/>
        <w:gridCol w:w="1484"/>
        <w:gridCol w:w="62"/>
        <w:gridCol w:w="84"/>
        <w:gridCol w:w="429"/>
        <w:gridCol w:w="81"/>
        <w:gridCol w:w="1334"/>
        <w:gridCol w:w="3452"/>
        <w:gridCol w:w="74"/>
        <w:gridCol w:w="484"/>
        <w:gridCol w:w="517"/>
        <w:gridCol w:w="10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95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21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5"/>
                <w:rFonts w:hint="default" w:ascii="Times New Roman" w:hAnsi="Times New Roman" w:eastAsia="宋体" w:cs="Times New Roman"/>
                <w:b w:val="0"/>
                <w:bCs w:val="0"/>
                <w:sz w:val="20"/>
                <w:szCs w:val="20"/>
                <w:lang w:val="en-US" w:eastAsia="zh-CN" w:bidi="ar"/>
              </w:rPr>
              <w:t>2024-JQ06-W5073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医用灌注吸引平台</w:t>
            </w:r>
          </w:p>
        </w:tc>
        <w:tc>
          <w:tcPr>
            <w:tcW w:w="10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58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可配合各类型的内窥镜，实现腔内冲洗及吸引，与测压鞘联合使用，用于上尿路结石碎石取石术中，实现灌注、吸引、测压及智能控压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 NMPA（CFDA）认证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工作状态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在常规模式下与特定测压鞘联合使用，可实现≥3种状态下的腔内压监测。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情景切换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可通过触控屏、操控手柄直接切换预设情景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流量调节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可通过触控屏、操控手柄、脚踏调节灌注流量。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工作腔内警戒压力设定范围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（10-280）mmHg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灌注流量设定范围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10-1000ml/min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常规模式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 种模式，（至少包括检查、碎石、清石）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智能模式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与特定测压鞘联合使用可同时实现灌注、吸引、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腔内压力监测及腔内压力智能控制功能，具备≥3种模式，至少包括检查、碎石、清石等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操作手柄调节功能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 种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过压报警功能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当监测实际压力超过设定警戒压力时，具有报警功能；持续报警将触发安全机制，设备自动暂停运行，停机响应时间≤0.5s。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压力报警误差值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≤2.5mmHg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数据储存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具备工作数据存储与导出功能，具备 USB 数据存储接口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运行模式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 种模式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情景模式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 种模式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工作腔内压力控制值设定范围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（-30-30)mmHg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吸引压力设定范围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（10-400）mmHg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灌注流量误差范围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流量值 ≥ 100ml/min 误 差≤ ± 10% 、 流量值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&lt;100ml/min 误差≤10ml/min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测压传感器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精度 0.05V/V/mmHg、误差范围≤±1.5%mmHg、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监控宽度为 350mmHg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 英寸触控屏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脚踏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具备灌注流量、负压吸引力调节功能，防水等级IPX8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 1 台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测压传感器 1 个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台车 1 台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配套耗材（试剂）要求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958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合同签订后三个月内交付，交付地点由甲方指定。</w:t>
            </w:r>
          </w:p>
        </w:tc>
        <w:tc>
          <w:tcPr>
            <w:tcW w:w="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 95%</w:t>
            </w:r>
          </w:p>
        </w:tc>
        <w:tc>
          <w:tcPr>
            <w:tcW w:w="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 5%</w:t>
            </w:r>
          </w:p>
        </w:tc>
        <w:tc>
          <w:tcPr>
            <w:tcW w:w="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售后服务1（质保）</w:t>
            </w:r>
          </w:p>
        </w:tc>
        <w:tc>
          <w:tcPr>
            <w:tcW w:w="5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 5%（按 365 日/年计算)。</w:t>
            </w:r>
          </w:p>
        </w:tc>
        <w:tc>
          <w:tcPr>
            <w:tcW w:w="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售后服务2（质保）</w:t>
            </w:r>
          </w:p>
        </w:tc>
        <w:tc>
          <w:tcPr>
            <w:tcW w:w="5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售后服务3（响应时间）</w:t>
            </w:r>
          </w:p>
        </w:tc>
        <w:tc>
          <w:tcPr>
            <w:tcW w:w="5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维修响应时间≤1 小时，京内维修到达现场时间≤8 小时，京外维修到达现场时间≤24 小时</w:t>
            </w:r>
          </w:p>
        </w:tc>
        <w:tc>
          <w:tcPr>
            <w:tcW w:w="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958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759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▲标识的指标负偏离≥5 项，投标企业技术分值为 0 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 ”指标负偏离≥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11项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，投标企业技术分值为 0 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958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sz w:val="20"/>
                <w:szCs w:val="20"/>
              </w:rPr>
              <w:t>★及▲标识的指标，需逐条按备注要求提供证明材料，未明确的可由企业提供承诺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eastAsia="zh-CN"/>
              </w:rPr>
              <w:t>。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tbl>
      <w:tblPr>
        <w:tblStyle w:val="4"/>
        <w:tblW w:w="9890" w:type="dxa"/>
        <w:jc w:val="center"/>
        <w:tblInd w:w="55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7"/>
        <w:gridCol w:w="1948"/>
        <w:gridCol w:w="1635"/>
        <w:gridCol w:w="1"/>
        <w:gridCol w:w="1435"/>
        <w:gridCol w:w="1"/>
        <w:gridCol w:w="1278"/>
        <w:gridCol w:w="865"/>
        <w:gridCol w:w="14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98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  <w:jc w:val="center"/>
        </w:trPr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5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  <w:t>医用灌注吸引平台</w:t>
            </w:r>
          </w:p>
        </w:tc>
        <w:tc>
          <w:tcPr>
            <w:tcW w:w="1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36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  <w:t>2024-JQ06-W5073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  <w:jc w:val="center"/>
        </w:trPr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865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</w:t>
            </w:r>
            <w:r>
              <w:rPr>
                <w:rFonts w:hint="eastAsia" w:ascii="Times New Roman" w:hAnsi="Times New Roman" w:eastAsia="宋体" w:cs="Times New Roman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※规格</w:t>
            </w:r>
          </w:p>
        </w:tc>
        <w:tc>
          <w:tcPr>
            <w:tcW w:w="1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1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color w:val="FF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FF0000"/>
                <w:sz w:val="20"/>
                <w:szCs w:val="20"/>
                <w:u w:val="none"/>
                <w:lang w:eastAsia="zh-CN"/>
              </w:rPr>
              <w:t>一次性导管（导引鞘）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FF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FF0000"/>
                <w:kern w:val="2"/>
                <w:sz w:val="20"/>
                <w:szCs w:val="20"/>
                <w:u w:val="none"/>
                <w:lang w:val="en-US" w:eastAsia="zh-CN" w:bidi="ar-SA"/>
              </w:rPr>
              <w:t>厂家自报</w:t>
            </w:r>
          </w:p>
        </w:tc>
        <w:tc>
          <w:tcPr>
            <w:tcW w:w="1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FF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FF0000"/>
                <w:sz w:val="20"/>
                <w:szCs w:val="20"/>
                <w:u w:val="none"/>
                <w:lang w:val="en-US" w:eastAsia="zh-CN"/>
              </w:rPr>
              <w:t>200</w:t>
            </w:r>
          </w:p>
        </w:tc>
        <w:tc>
          <w:tcPr>
            <w:tcW w:w="1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FF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FF0000"/>
                <w:sz w:val="20"/>
                <w:szCs w:val="20"/>
                <w:u w:val="none"/>
                <w:lang w:eastAsia="zh-CN"/>
              </w:rPr>
              <w:t>根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FF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FF0000"/>
                <w:sz w:val="20"/>
                <w:szCs w:val="20"/>
                <w:u w:val="none"/>
                <w:lang w:val="en-US" w:eastAsia="zh-CN"/>
              </w:rPr>
              <w:t>110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  <w:jc w:val="center"/>
        </w:trPr>
        <w:tc>
          <w:tcPr>
            <w:tcW w:w="98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420" w:hanging="420" w:hanging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注：1.预估2年用量为开展业务所需耗材（开展项目）的测算量，与设备购置数量无关；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.计量单位为最小使用单位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</w:tbl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47A74"/>
    <w:rsid w:val="005E28CA"/>
    <w:rsid w:val="0417711A"/>
    <w:rsid w:val="070D06CC"/>
    <w:rsid w:val="09613E9B"/>
    <w:rsid w:val="0D763EFD"/>
    <w:rsid w:val="0DE60318"/>
    <w:rsid w:val="0F383450"/>
    <w:rsid w:val="12AA1277"/>
    <w:rsid w:val="16FB314C"/>
    <w:rsid w:val="1A903D11"/>
    <w:rsid w:val="1CE47A74"/>
    <w:rsid w:val="1CF64E69"/>
    <w:rsid w:val="2255653A"/>
    <w:rsid w:val="251325F7"/>
    <w:rsid w:val="26D44EE5"/>
    <w:rsid w:val="29062745"/>
    <w:rsid w:val="2BB40B25"/>
    <w:rsid w:val="2C48216D"/>
    <w:rsid w:val="2E220DD0"/>
    <w:rsid w:val="2F1C2362"/>
    <w:rsid w:val="2FE225DA"/>
    <w:rsid w:val="35B464C1"/>
    <w:rsid w:val="41ED15B0"/>
    <w:rsid w:val="42F078BF"/>
    <w:rsid w:val="45207E2A"/>
    <w:rsid w:val="453C076E"/>
    <w:rsid w:val="4AF60769"/>
    <w:rsid w:val="4E3E36FB"/>
    <w:rsid w:val="55B92F41"/>
    <w:rsid w:val="5CEF0B36"/>
    <w:rsid w:val="5DF91893"/>
    <w:rsid w:val="66BE2F36"/>
    <w:rsid w:val="6FE60F5B"/>
    <w:rsid w:val="787106F2"/>
    <w:rsid w:val="7B705122"/>
    <w:rsid w:val="7C34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customStyle="1" w:styleId="5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6">
    <w:name w:val="font31"/>
    <w:basedOn w:val="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7">
    <w:name w:val="font11"/>
    <w:basedOn w:val="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61"/>
    <w:basedOn w:val="3"/>
    <w:qFormat/>
    <w:uiPriority w:val="0"/>
    <w:rPr>
      <w:rFonts w:hint="eastAsia" w:ascii="黑体" w:hAnsi="宋体" w:eastAsia="黑体" w:cs="黑体"/>
      <w:i/>
      <w:color w:val="000000"/>
      <w:sz w:val="20"/>
      <w:szCs w:val="20"/>
      <w:u w:val="none"/>
    </w:rPr>
  </w:style>
  <w:style w:type="character" w:customStyle="1" w:styleId="9">
    <w:name w:val="font101"/>
    <w:basedOn w:val="3"/>
    <w:qFormat/>
    <w:uiPriority w:val="0"/>
    <w:rPr>
      <w:rFonts w:hint="eastAsia" w:ascii="宋体" w:hAnsi="宋体" w:eastAsia="宋体" w:cs="宋体"/>
      <w:i/>
      <w:color w:val="000000"/>
      <w:sz w:val="20"/>
      <w:szCs w:val="20"/>
      <w:u w:val="none"/>
    </w:rPr>
  </w:style>
  <w:style w:type="character" w:customStyle="1" w:styleId="10">
    <w:name w:val="font51"/>
    <w:basedOn w:val="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1">
    <w:name w:val="font112"/>
    <w:basedOn w:val="3"/>
    <w:qFormat/>
    <w:uiPriority w:val="0"/>
    <w:rPr>
      <w:rFonts w:hint="eastAsia" w:ascii="黑体" w:hAnsi="宋体" w:eastAsia="黑体" w:cs="黑体"/>
      <w:i/>
      <w:color w:val="000000"/>
      <w:sz w:val="20"/>
      <w:szCs w:val="20"/>
      <w:u w:val="none"/>
    </w:rPr>
  </w:style>
  <w:style w:type="character" w:customStyle="1" w:styleId="12">
    <w:name w:val="font131"/>
    <w:basedOn w:val="3"/>
    <w:qFormat/>
    <w:uiPriority w:val="0"/>
    <w:rPr>
      <w:rFonts w:hint="eastAsia" w:ascii="黑体" w:hAnsi="宋体" w:eastAsia="黑体" w:cs="黑体"/>
      <w:i/>
      <w:color w:val="FF0000"/>
      <w:sz w:val="20"/>
      <w:szCs w:val="20"/>
      <w:u w:val="none"/>
    </w:rPr>
  </w:style>
  <w:style w:type="character" w:customStyle="1" w:styleId="13">
    <w:name w:val="font91"/>
    <w:basedOn w:val="3"/>
    <w:qFormat/>
    <w:uiPriority w:val="0"/>
    <w:rPr>
      <w:rFonts w:ascii="Wingdings" w:hAnsi="Wingdings" w:cs="Wingdings"/>
      <w:color w:val="000000"/>
      <w:sz w:val="20"/>
      <w:szCs w:val="20"/>
      <w:u w:val="none"/>
    </w:rPr>
  </w:style>
  <w:style w:type="character" w:customStyle="1" w:styleId="14">
    <w:name w:val="font01"/>
    <w:basedOn w:val="3"/>
    <w:uiPriority w:val="0"/>
    <w:rPr>
      <w:rFonts w:ascii="宋体" w:hAnsi="宋体" w:eastAsia="宋体" w:cs="宋体"/>
      <w:color w:val="000000"/>
      <w:sz w:val="42"/>
      <w:szCs w:val="42"/>
      <w:u w:val="none"/>
    </w:rPr>
  </w:style>
  <w:style w:type="character" w:customStyle="1" w:styleId="15">
    <w:name w:val="font21"/>
    <w:basedOn w:val="3"/>
    <w:uiPriority w:val="0"/>
    <w:rPr>
      <w:rFonts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2025-02-20T02:59:00Z</dcterms:created>
  <dc:creator>DOCTOR</dc:creator>
  <cp:lastModifiedBy>admin</cp:lastModifiedBy>
  <dcterms:modified xsi:type="dcterms:W3CDTF">2025-04-21T00:11:07Z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