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spacing w:before="0" w:after="0" w:line="560" w:lineRule="exact"/>
        <w:ind w:firstLine="560" w:firstLineChars="200"/>
        <w:rPr>
          <w:rFonts w:hint="eastAsia" w:ascii="黑体" w:hAnsi="黑体" w:cs="黑体"/>
          <w:b w:val="0"/>
          <w:sz w:val="28"/>
          <w:szCs w:val="28"/>
          <w:lang w:eastAsia="zh-CN"/>
        </w:rPr>
      </w:pPr>
      <w:bookmarkStart w:id="0" w:name="_Toc128470294"/>
      <w:bookmarkStart w:id="1" w:name="_Toc32238"/>
      <w:bookmarkStart w:id="2" w:name="_Toc22203"/>
      <w:bookmarkStart w:id="3" w:name="_Toc17189"/>
      <w:bookmarkStart w:id="4" w:name="_Toc112768493"/>
      <w:bookmarkStart w:id="5" w:name="_Toc128154367"/>
      <w:bookmarkStart w:id="6" w:name="_Toc13753"/>
      <w:bookmarkStart w:id="7" w:name="_Toc25325"/>
      <w:bookmarkStart w:id="8" w:name="_Toc112681847"/>
      <w:bookmarkStart w:id="9" w:name="_Toc14060"/>
      <w:bookmarkStart w:id="10" w:name="_Toc130888006"/>
      <w:bookmarkStart w:id="11" w:name="_Toc21712"/>
      <w:bookmarkStart w:id="12" w:name="_Toc13168"/>
      <w:bookmarkStart w:id="13" w:name="_Toc22977"/>
      <w:bookmarkStart w:id="14" w:name="_Toc132191258"/>
      <w:bookmarkStart w:id="15" w:name="_Toc132186974"/>
      <w:bookmarkStart w:id="16" w:name="_Toc14941"/>
      <w:bookmarkStart w:id="17" w:name="_Toc285612596"/>
      <w:r>
        <w:rPr>
          <w:rFonts w:hint="eastAsia" w:ascii="黑体" w:hAnsi="黑体" w:cs="黑体"/>
          <w:b w:val="0"/>
          <w:sz w:val="28"/>
          <w:szCs w:val="28"/>
          <w:highlight w:val="none"/>
        </w:rPr>
        <w:t>商务要求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Pr>
          <w:rFonts w:hint="eastAsia" w:ascii="黑体" w:hAnsi="黑体" w:cs="黑体"/>
          <w:b w:val="0"/>
          <w:sz w:val="28"/>
          <w:szCs w:val="28"/>
          <w:lang w:eastAsia="zh-CN"/>
        </w:rPr>
        <w:t>（商务要求均为实质性响应条款，不接受负偏离）</w:t>
      </w:r>
      <w:bookmarkEnd w:id="16"/>
    </w:p>
    <w:tbl>
      <w:tblPr>
        <w:tblStyle w:val="4"/>
        <w:tblW w:w="4999" w:type="pct"/>
        <w:tblInd w:w="0" w:type="dxa"/>
        <w:tblLayout w:type="autofit"/>
        <w:tblCellMar>
          <w:top w:w="0" w:type="dxa"/>
          <w:left w:w="108" w:type="dxa"/>
          <w:bottom w:w="0" w:type="dxa"/>
          <w:right w:w="108" w:type="dxa"/>
        </w:tblCellMar>
      </w:tblPr>
      <w:tblGrid>
        <w:gridCol w:w="557"/>
        <w:gridCol w:w="1544"/>
        <w:gridCol w:w="5000"/>
        <w:gridCol w:w="1419"/>
      </w:tblGrid>
      <w:tr>
        <w:tblPrEx>
          <w:tblCellMar>
            <w:top w:w="0" w:type="dxa"/>
            <w:left w:w="108" w:type="dxa"/>
            <w:bottom w:w="0" w:type="dxa"/>
            <w:right w:w="108" w:type="dxa"/>
          </w:tblCellMar>
        </w:tblPrEx>
        <w:trPr>
          <w:trHeight w:val="499"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sz w:val="20"/>
              </w:rPr>
              <w:t>1</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交货时间、交货地点</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合同签订后3个月内交付，交付地点由甲方指定。</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499"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sz w:val="20"/>
              </w:rPr>
              <w:t>2</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付款及结算方式</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签订合同付（预付）0</w:t>
            </w:r>
            <w:r>
              <w:rPr>
                <w:rFonts w:ascii="黑体" w:hAnsi="黑体" w:eastAsia="黑体" w:cs="黑体"/>
                <w:kern w:val="0"/>
                <w:sz w:val="20"/>
              </w:rPr>
              <w:t>%</w:t>
            </w:r>
            <w:r>
              <w:rPr>
                <w:rFonts w:hint="eastAsia" w:ascii="黑体" w:hAnsi="黑体" w:eastAsia="黑体" w:cs="黑体"/>
                <w:kern w:val="0"/>
                <w:sz w:val="20"/>
              </w:rPr>
              <w:t>，物资到货（服务完成）验收后付95</w:t>
            </w:r>
            <w:r>
              <w:rPr>
                <w:rFonts w:ascii="黑体" w:hAnsi="黑体" w:eastAsia="黑体" w:cs="黑体"/>
                <w:kern w:val="0"/>
                <w:sz w:val="20"/>
              </w:rPr>
              <w:t>%</w:t>
            </w:r>
            <w:r>
              <w:rPr>
                <w:rFonts w:hint="eastAsia" w:ascii="黑体" w:hAnsi="黑体" w:eastAsia="黑体" w:cs="黑体"/>
                <w:kern w:val="0"/>
                <w:sz w:val="20"/>
              </w:rPr>
              <w:t>。</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880"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ascii="黑体" w:hAnsi="黑体" w:eastAsia="黑体" w:cs="黑体"/>
                <w:kern w:val="0"/>
                <w:sz w:val="20"/>
              </w:rPr>
              <w:t>3</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履约保证金</w:t>
            </w:r>
            <w:r>
              <w:rPr>
                <w:rFonts w:ascii="黑体" w:hAnsi="黑体" w:eastAsia="黑体" w:cs="黑体"/>
                <w:kern w:val="0"/>
                <w:sz w:val="20"/>
              </w:rPr>
              <w:t>/</w:t>
            </w:r>
            <w:r>
              <w:rPr>
                <w:rFonts w:hint="eastAsia" w:ascii="黑体" w:hAnsi="黑体" w:eastAsia="黑体" w:cs="黑体"/>
                <w:kern w:val="0"/>
                <w:sz w:val="20"/>
              </w:rPr>
              <w:t>质量保证金</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验收合格后满1年无质量问题支付剩余5</w:t>
            </w:r>
            <w:r>
              <w:rPr>
                <w:rFonts w:ascii="黑体" w:hAnsi="黑体" w:eastAsia="黑体" w:cs="黑体"/>
                <w:kern w:val="0"/>
                <w:sz w:val="20"/>
              </w:rPr>
              <w:t>%</w:t>
            </w:r>
            <w:r>
              <w:rPr>
                <w:rFonts w:hint="eastAsia" w:ascii="黑体" w:hAnsi="黑体" w:eastAsia="黑体" w:cs="黑体"/>
                <w:kern w:val="0"/>
                <w:sz w:val="20"/>
              </w:rPr>
              <w:t>（不超过</w:t>
            </w:r>
            <w:r>
              <w:rPr>
                <w:rFonts w:ascii="黑体" w:hAnsi="黑体" w:eastAsia="黑体" w:cs="黑体"/>
                <w:kern w:val="0"/>
                <w:sz w:val="20"/>
              </w:rPr>
              <w:t>5%</w:t>
            </w:r>
            <w:r>
              <w:rPr>
                <w:rFonts w:hint="eastAsia" w:ascii="黑体" w:hAnsi="黑体" w:eastAsia="黑体" w:cs="黑体"/>
                <w:kern w:val="0"/>
                <w:sz w:val="20"/>
              </w:rPr>
              <w:t>）</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1099"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sz w:val="20"/>
              </w:rPr>
              <w:t>4</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产品包装和运输要求</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按照国家、行业相关标准规范，产品确保包装完好，运输确保不对产品造成损伤。</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454"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sz w:val="20"/>
              </w:rPr>
              <w:t>5</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售后服务</w:t>
            </w:r>
            <w:r>
              <w:rPr>
                <w:rFonts w:ascii="黑体" w:hAnsi="黑体" w:eastAsia="黑体" w:cs="黑体"/>
                <w:kern w:val="0"/>
                <w:sz w:val="20"/>
              </w:rPr>
              <w:t>1</w:t>
            </w:r>
          </w:p>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（质保）</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保修年限不低于3年，全年故障停机时间不高于</w:t>
            </w:r>
            <w:r>
              <w:rPr>
                <w:rFonts w:ascii="黑体" w:hAnsi="黑体" w:eastAsia="黑体" w:cs="黑体"/>
                <w:kern w:val="0"/>
                <w:sz w:val="20"/>
              </w:rPr>
              <w:t>5%</w:t>
            </w:r>
            <w:r>
              <w:rPr>
                <w:rFonts w:hint="eastAsia" w:ascii="黑体" w:hAnsi="黑体" w:eastAsia="黑体" w:cs="黑体"/>
                <w:kern w:val="0"/>
                <w:sz w:val="20"/>
              </w:rPr>
              <w:t>（按</w:t>
            </w:r>
            <w:r>
              <w:rPr>
                <w:rFonts w:ascii="黑体" w:hAnsi="黑体" w:eastAsia="黑体" w:cs="黑体"/>
                <w:kern w:val="0"/>
                <w:sz w:val="20"/>
              </w:rPr>
              <w:t>365</w:t>
            </w:r>
            <w:r>
              <w:rPr>
                <w:rFonts w:hint="eastAsia" w:ascii="黑体" w:hAnsi="黑体" w:eastAsia="黑体" w:cs="黑体"/>
                <w:kern w:val="0"/>
                <w:sz w:val="20"/>
              </w:rPr>
              <w:t>日</w:t>
            </w:r>
            <w:r>
              <w:rPr>
                <w:rFonts w:ascii="黑体" w:hAnsi="黑体" w:eastAsia="黑体" w:cs="黑体"/>
                <w:kern w:val="0"/>
                <w:sz w:val="20"/>
              </w:rPr>
              <w:t>/</w:t>
            </w:r>
            <w:r>
              <w:rPr>
                <w:rFonts w:hint="eastAsia" w:ascii="黑体" w:hAnsi="黑体" w:eastAsia="黑体" w:cs="黑体"/>
                <w:kern w:val="0"/>
                <w:sz w:val="20"/>
              </w:rPr>
              <w:t>年计算</w:t>
            </w:r>
            <w:r>
              <w:rPr>
                <w:rFonts w:ascii="黑体" w:hAnsi="黑体" w:eastAsia="黑体" w:cs="黑体"/>
                <w:kern w:val="0"/>
                <w:sz w:val="20"/>
              </w:rPr>
              <w:t>)</w:t>
            </w:r>
            <w:r>
              <w:rPr>
                <w:rFonts w:hint="eastAsia" w:ascii="黑体" w:hAnsi="黑体" w:eastAsia="黑体" w:cs="黑体"/>
                <w:kern w:val="0"/>
                <w:sz w:val="20"/>
              </w:rPr>
              <w:t>。</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原厂授权</w:t>
            </w:r>
            <w:r>
              <w:rPr>
                <w:rFonts w:hint="eastAsia" w:ascii="黑体" w:hAnsi="宋体" w:eastAsia="黑体" w:cs="黑体"/>
                <w:i/>
                <w:iCs/>
                <w:kern w:val="0"/>
                <w:sz w:val="20"/>
                <w:lang w:eastAsia="zh-CN"/>
              </w:rPr>
              <w:t>或</w:t>
            </w: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499"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sz w:val="20"/>
              </w:rPr>
              <w:t>6</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售后服务</w:t>
            </w:r>
            <w:r>
              <w:rPr>
                <w:rFonts w:ascii="黑体" w:hAnsi="黑体" w:eastAsia="黑体" w:cs="黑体"/>
                <w:kern w:val="0"/>
                <w:sz w:val="20"/>
              </w:rPr>
              <w:t>2</w:t>
            </w:r>
          </w:p>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（质保）</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保修期内免费提供定期维护保养服务，免费升级和维护软件，免费提供使用培训。</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499"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ascii="黑体" w:hAnsi="黑体" w:eastAsia="黑体" w:cs="黑体"/>
                <w:kern w:val="0"/>
                <w:sz w:val="20"/>
              </w:rPr>
              <w:t>7</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售后服务</w:t>
            </w:r>
            <w:r>
              <w:rPr>
                <w:rFonts w:ascii="黑体" w:hAnsi="黑体" w:eastAsia="黑体" w:cs="黑体"/>
                <w:kern w:val="0"/>
                <w:sz w:val="20"/>
              </w:rPr>
              <w:t>3</w:t>
            </w:r>
          </w:p>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（质保）</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提供不少于3人次、1天的工程师维修培训。</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976"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sz w:val="20"/>
              </w:rPr>
              <w:t>8</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售后服务</w:t>
            </w:r>
            <w:r>
              <w:rPr>
                <w:rFonts w:ascii="黑体" w:hAnsi="黑体" w:eastAsia="黑体" w:cs="黑体"/>
                <w:kern w:val="0"/>
                <w:sz w:val="20"/>
              </w:rPr>
              <w:t>4</w:t>
            </w:r>
            <w:r>
              <w:rPr>
                <w:rFonts w:ascii="黑体" w:hAnsi="黑体" w:eastAsia="黑体" w:cs="黑体"/>
                <w:kern w:val="0"/>
                <w:sz w:val="20"/>
              </w:rPr>
              <w:br w:type="textWrapping"/>
            </w:r>
            <w:r>
              <w:rPr>
                <w:rFonts w:hint="eastAsia" w:ascii="黑体" w:hAnsi="黑体" w:eastAsia="黑体" w:cs="黑体"/>
                <w:kern w:val="0"/>
                <w:sz w:val="20"/>
              </w:rPr>
              <w:t>（响应时间）</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维修响应时间≤4小时，维修到达现场时间≤6小时。</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720"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ascii="黑体" w:hAnsi="黑体" w:eastAsia="黑体" w:cs="黑体"/>
                <w:kern w:val="0"/>
                <w:sz w:val="20"/>
              </w:rPr>
              <w:t>9</w:t>
            </w:r>
          </w:p>
        </w:tc>
        <w:tc>
          <w:tcPr>
            <w:tcW w:w="90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备品备件要求（零配件）</w:t>
            </w:r>
          </w:p>
        </w:tc>
        <w:tc>
          <w:tcPr>
            <w:tcW w:w="293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由供应商承诺项目使用寿命周期内保证零配件供应。</w:t>
            </w:r>
          </w:p>
        </w:tc>
        <w:tc>
          <w:tcPr>
            <w:tcW w:w="832"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720"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黑体" w:hAnsi="黑体" w:eastAsia="黑体" w:cs="黑体"/>
                <w:kern w:val="0"/>
                <w:sz w:val="20"/>
              </w:rPr>
            </w:pPr>
            <w:r>
              <w:rPr>
                <w:rFonts w:hint="eastAsia" w:ascii="黑体" w:hAnsi="宋体" w:eastAsia="黑体" w:cs="黑体"/>
                <w:i w:val="0"/>
                <w:color w:val="000000"/>
                <w:kern w:val="0"/>
                <w:sz w:val="22"/>
                <w:szCs w:val="22"/>
                <w:u w:val="none"/>
                <w:lang w:val="en-US" w:eastAsia="zh-CN" w:bidi="ar"/>
              </w:rPr>
              <w:t>10</w:t>
            </w:r>
          </w:p>
        </w:tc>
        <w:tc>
          <w:tcPr>
            <w:tcW w:w="906"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黑体" w:hAnsi="黑体" w:eastAsia="黑体" w:cs="黑体"/>
                <w:kern w:val="0"/>
                <w:sz w:val="20"/>
              </w:rPr>
            </w:pPr>
            <w:r>
              <w:rPr>
                <w:rFonts w:hint="eastAsia" w:ascii="黑体" w:hAnsi="宋体" w:eastAsia="黑体" w:cs="黑体"/>
                <w:i w:val="0"/>
                <w:color w:val="000000"/>
                <w:kern w:val="0"/>
                <w:sz w:val="22"/>
                <w:szCs w:val="22"/>
                <w:u w:val="none"/>
                <w:lang w:val="en-US" w:eastAsia="zh-CN" w:bidi="ar"/>
              </w:rPr>
              <w:t>物资编目编码、打码贴签要求</w:t>
            </w:r>
          </w:p>
        </w:tc>
        <w:tc>
          <w:tcPr>
            <w:tcW w:w="293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kern w:val="0"/>
                <w:sz w:val="20"/>
              </w:rPr>
            </w:pPr>
            <w:r>
              <w:rPr>
                <w:rFonts w:hint="eastAsia" w:ascii="黑体" w:hAnsi="宋体" w:eastAsia="黑体" w:cs="黑体"/>
                <w:i w:val="0"/>
                <w:color w:val="000000"/>
                <w:kern w:val="0"/>
                <w:sz w:val="20"/>
                <w:szCs w:val="20"/>
                <w:u w:val="none"/>
                <w:lang w:val="en-US" w:eastAsia="zh-CN" w:bidi="ar"/>
              </w:rPr>
              <w:t>本项目对物资的编目编码、打码贴签要求，报价供应商应当予以明确响应，相关费用包含在报价中。</w:t>
            </w:r>
          </w:p>
        </w:tc>
        <w:tc>
          <w:tcPr>
            <w:tcW w:w="832"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iCs/>
                <w:kern w:val="0"/>
                <w:sz w:val="20"/>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trHeight w:val="720" w:hRule="atLeast"/>
        </w:trPr>
        <w:tc>
          <w:tcPr>
            <w:tcW w:w="327"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黑体" w:hAnsi="黑体" w:eastAsia="黑体" w:cs="黑体"/>
                <w:kern w:val="0"/>
                <w:sz w:val="20"/>
              </w:rPr>
            </w:pPr>
            <w:r>
              <w:rPr>
                <w:rFonts w:hint="eastAsia" w:ascii="黑体" w:hAnsi="宋体" w:eastAsia="黑体" w:cs="黑体"/>
                <w:i w:val="0"/>
                <w:color w:val="000000"/>
                <w:kern w:val="0"/>
                <w:sz w:val="22"/>
                <w:szCs w:val="22"/>
                <w:u w:val="none"/>
                <w:lang w:val="en-US" w:eastAsia="zh-CN" w:bidi="ar"/>
              </w:rPr>
              <w:t>11</w:t>
            </w:r>
          </w:p>
        </w:tc>
        <w:tc>
          <w:tcPr>
            <w:tcW w:w="906"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黑体" w:eastAsia="黑体" w:cs="黑体"/>
                <w:kern w:val="0"/>
                <w:sz w:val="20"/>
              </w:rPr>
            </w:pPr>
            <w:r>
              <w:rPr>
                <w:rFonts w:hint="eastAsia" w:ascii="黑体" w:hAnsi="宋体" w:eastAsia="黑体" w:cs="黑体"/>
                <w:i w:val="0"/>
                <w:color w:val="000000"/>
                <w:kern w:val="0"/>
                <w:sz w:val="20"/>
                <w:szCs w:val="20"/>
                <w:u w:val="none"/>
                <w:lang w:val="en-US" w:eastAsia="zh-CN" w:bidi="ar"/>
              </w:rPr>
              <w:t>知识产权和保密要求</w:t>
            </w:r>
          </w:p>
        </w:tc>
        <w:tc>
          <w:tcPr>
            <w:tcW w:w="2933"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zh-CN" w:eastAsia="zh-CN" w:bidi="ar"/>
              </w:rPr>
            </w:pPr>
            <w:r>
              <w:rPr>
                <w:rFonts w:hint="eastAsia" w:ascii="黑体" w:hAnsi="宋体" w:eastAsia="黑体" w:cs="黑体"/>
                <w:i w:val="0"/>
                <w:color w:val="000000"/>
                <w:kern w:val="0"/>
                <w:sz w:val="20"/>
                <w:szCs w:val="20"/>
                <w:u w:val="none"/>
                <w:lang w:val="zh-CN" w:eastAsia="zh-CN" w:bidi="ar"/>
              </w:rPr>
              <w:t>报价供应商应当保证采购单位在使用该物资或其任何一部分时，不受第三方侵权指控。同时，报价供应商不得向第三方泄露采购机构提供的技术文件等</w:t>
            </w:r>
            <w:r>
              <w:rPr>
                <w:rFonts w:hint="eastAsia" w:ascii="黑体" w:hAnsi="宋体" w:eastAsia="黑体" w:cs="黑体"/>
                <w:i w:val="0"/>
                <w:color w:val="000000"/>
                <w:kern w:val="0"/>
                <w:sz w:val="20"/>
                <w:szCs w:val="20"/>
                <w:u w:val="none"/>
                <w:lang w:val="en-US" w:eastAsia="zh-CN" w:bidi="ar"/>
              </w:rPr>
              <w:t>材料</w:t>
            </w:r>
            <w:r>
              <w:rPr>
                <w:rFonts w:hint="eastAsia" w:ascii="黑体" w:hAnsi="宋体" w:eastAsia="黑体" w:cs="黑体"/>
                <w:i w:val="0"/>
                <w:color w:val="000000"/>
                <w:kern w:val="0"/>
                <w:sz w:val="20"/>
                <w:szCs w:val="20"/>
                <w:u w:val="none"/>
                <w:lang w:val="zh-CN" w:eastAsia="zh-CN" w:bidi="ar"/>
              </w:rPr>
              <w:t>。</w:t>
            </w:r>
          </w:p>
          <w:p>
            <w:pPr>
              <w:keepNext w:val="0"/>
              <w:keepLines w:val="0"/>
              <w:widowControl/>
              <w:suppressLineNumbers w:val="0"/>
              <w:jc w:val="center"/>
              <w:textAlignment w:val="center"/>
              <w:rPr>
                <w:rFonts w:hint="eastAsia" w:ascii="黑体" w:hAnsi="黑体" w:eastAsia="黑体" w:cs="黑体"/>
                <w:kern w:val="0"/>
                <w:sz w:val="20"/>
              </w:rPr>
            </w:pPr>
            <w:r>
              <w:rPr>
                <w:rFonts w:hint="eastAsia" w:ascii="黑体" w:hAnsi="宋体" w:eastAsia="黑体" w:cs="黑体"/>
                <w:i w:val="0"/>
                <w:color w:val="000000"/>
                <w:kern w:val="0"/>
                <w:sz w:val="20"/>
                <w:szCs w:val="20"/>
                <w:u w:val="none"/>
                <w:lang w:val="zh-CN" w:eastAsia="zh-CN" w:bidi="ar"/>
              </w:rPr>
              <w:t>基于项目合同履行形成的知识产权和其他权益，其权属归采购单位所有，法律另有规定的除外。</w:t>
            </w:r>
          </w:p>
        </w:tc>
        <w:tc>
          <w:tcPr>
            <w:tcW w:w="832" w:type="pc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黑体" w:hAnsi="宋体" w:eastAsia="黑体" w:cs="黑体"/>
                <w:i/>
                <w:iCs/>
                <w:kern w:val="0"/>
                <w:sz w:val="20"/>
              </w:rPr>
            </w:pPr>
            <w:r>
              <w:rPr>
                <w:rFonts w:hint="eastAsia" w:ascii="黑体" w:hAnsi="宋体" w:eastAsia="黑体" w:cs="黑体"/>
                <w:i w:val="0"/>
                <w:color w:val="000000"/>
                <w:kern w:val="0"/>
                <w:sz w:val="20"/>
                <w:szCs w:val="20"/>
                <w:u w:val="none"/>
                <w:lang w:val="en-US" w:eastAsia="zh-CN" w:bidi="ar"/>
              </w:rPr>
              <w:t>企业承诺</w:t>
            </w:r>
          </w:p>
        </w:tc>
      </w:tr>
    </w:tbl>
    <w:p>
      <w:pPr>
        <w:rPr>
          <w:rFonts w:hint="eastAsia"/>
          <w:lang w:eastAsia="zh-CN"/>
        </w:rPr>
      </w:pPr>
    </w:p>
    <w:bookmarkEnd w:id="17"/>
    <w:p>
      <w:pPr>
        <w:pStyle w:val="3"/>
        <w:numPr>
          <w:ilvl w:val="0"/>
          <w:numId w:val="1"/>
        </w:numPr>
        <w:spacing w:before="0" w:after="0" w:line="560" w:lineRule="exact"/>
        <w:ind w:left="0" w:leftChars="0" w:firstLine="560" w:firstLineChars="200"/>
        <w:rPr>
          <w:rFonts w:hint="eastAsia" w:ascii="黑体" w:hAnsi="黑体" w:cs="黑体"/>
          <w:b w:val="0"/>
          <w:color w:val="auto"/>
          <w:sz w:val="28"/>
          <w:szCs w:val="28"/>
          <w:highlight w:val="none"/>
        </w:rPr>
      </w:pPr>
      <w:bookmarkStart w:id="18" w:name="_Toc2564"/>
      <w:bookmarkStart w:id="19" w:name="_Toc20366"/>
      <w:bookmarkStart w:id="20" w:name="_Toc27651"/>
      <w:r>
        <w:rPr>
          <w:rFonts w:hint="eastAsia" w:ascii="黑体" w:hAnsi="黑体" w:cs="黑体"/>
          <w:b w:val="0"/>
          <w:color w:val="auto"/>
          <w:sz w:val="28"/>
          <w:szCs w:val="28"/>
          <w:highlight w:val="none"/>
        </w:rPr>
        <w:t>技术要求</w:t>
      </w:r>
      <w:bookmarkEnd w:id="18"/>
      <w:bookmarkEnd w:id="19"/>
      <w:bookmarkEnd w:id="20"/>
    </w:p>
    <w:p>
      <w:pPr>
        <w:autoSpaceDE w:val="0"/>
        <w:autoSpaceDN w:val="0"/>
        <w:adjustRightInd w:val="0"/>
        <w:spacing w:line="560" w:lineRule="exact"/>
        <w:jc w:val="center"/>
        <w:rPr>
          <w:rFonts w:hint="eastAsia" w:ascii="宋体" w:hAnsi="宋体" w:cs="宋体"/>
          <w:b/>
          <w:bCs/>
          <w:color w:val="000000"/>
          <w:kern w:val="0"/>
          <w:sz w:val="44"/>
          <w:szCs w:val="44"/>
        </w:rPr>
      </w:pPr>
      <w:r>
        <w:rPr>
          <w:rFonts w:hint="eastAsia" w:ascii="宋体" w:hAnsi="宋体" w:cs="宋体"/>
          <w:b/>
          <w:bCs/>
          <w:color w:val="000000"/>
          <w:kern w:val="0"/>
          <w:sz w:val="44"/>
          <w:szCs w:val="44"/>
        </w:rPr>
        <w:t>采购需求表（物资类）</w:t>
      </w:r>
    </w:p>
    <w:tbl>
      <w:tblPr>
        <w:tblStyle w:val="4"/>
        <w:tblW w:w="9106" w:type="dxa"/>
        <w:tblInd w:w="108" w:type="dxa"/>
        <w:tblLayout w:type="fixed"/>
        <w:tblCellMar>
          <w:top w:w="0" w:type="dxa"/>
          <w:left w:w="108" w:type="dxa"/>
          <w:bottom w:w="0" w:type="dxa"/>
          <w:right w:w="108" w:type="dxa"/>
        </w:tblCellMar>
      </w:tblPr>
      <w:tblGrid>
        <w:gridCol w:w="501"/>
        <w:gridCol w:w="669"/>
        <w:gridCol w:w="720"/>
        <w:gridCol w:w="720"/>
        <w:gridCol w:w="84"/>
        <w:gridCol w:w="1086"/>
        <w:gridCol w:w="2115"/>
        <w:gridCol w:w="1208"/>
        <w:gridCol w:w="727"/>
        <w:gridCol w:w="1276"/>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w:t>
            </w:r>
            <w:r>
              <w:rPr>
                <w:rFonts w:ascii="黑体" w:hAnsi="宋体" w:eastAsia="黑体" w:cs="黑体"/>
                <w:kern w:val="0"/>
                <w:sz w:val="20"/>
              </w:rPr>
              <w:br w:type="textWrapping"/>
            </w:r>
            <w:r>
              <w:rPr>
                <w:rFonts w:hint="eastAsia" w:ascii="黑体" w:hAnsi="宋体" w:eastAsia="黑体" w:cs="黑体"/>
                <w:kern w:val="0"/>
                <w:sz w:val="20"/>
              </w:rPr>
              <w:t>编号</w:t>
            </w:r>
          </w:p>
        </w:tc>
        <w:tc>
          <w:tcPr>
            <w:tcW w:w="1524"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2025-JQ06-W3020</w:t>
            </w:r>
          </w:p>
        </w:tc>
        <w:tc>
          <w:tcPr>
            <w:tcW w:w="1086"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kern w:val="0"/>
                <w:sz w:val="20"/>
              </w:rPr>
            </w:pPr>
            <w:r>
              <w:rPr>
                <w:rFonts w:hint="eastAsia" w:ascii="黑体" w:hAnsi="宋体" w:eastAsia="黑体" w:cs="黑体"/>
                <w:kern w:val="0"/>
                <w:sz w:val="20"/>
              </w:rPr>
              <w:t>数字脑电图机</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最高限价（万元）</w:t>
            </w:r>
          </w:p>
        </w:tc>
        <w:tc>
          <w:tcPr>
            <w:tcW w:w="200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kern w:val="0"/>
                <w:sz w:val="20"/>
              </w:rPr>
            </w:pPr>
            <w:r>
              <w:rPr>
                <w:rFonts w:hint="eastAsia" w:ascii="黑体" w:hAnsi="宋体" w:eastAsia="黑体" w:cs="黑体"/>
                <w:kern w:val="0"/>
                <w:sz w:val="20"/>
              </w:rPr>
              <w:t xml:space="preserve">36 </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需求名称</w:t>
            </w:r>
          </w:p>
        </w:tc>
        <w:tc>
          <w:tcPr>
            <w:tcW w:w="804"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性质</w:t>
            </w:r>
          </w:p>
        </w:tc>
        <w:tc>
          <w:tcPr>
            <w:tcW w:w="4409"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ascii="黑体" w:hAnsi="宋体" w:eastAsia="黑体" w:cs="黑体"/>
                <w:kern w:val="0"/>
                <w:sz w:val="20"/>
              </w:rPr>
              <w:br w:type="textWrapping"/>
            </w:r>
            <w:r>
              <w:rPr>
                <w:rFonts w:hint="eastAsia" w:ascii="黑体" w:hAnsi="宋体" w:eastAsia="黑体" w:cs="黑体"/>
                <w:kern w:val="0"/>
                <w:sz w:val="20"/>
              </w:rPr>
              <w:t>量化</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106"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kern w:val="0"/>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适用于临床脑电信号的采集和检测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宋体" w:cs="黑体"/>
                <w:i/>
                <w:iCs/>
                <w:sz w:val="20"/>
                <w:lang w:eastAsia="zh-CN"/>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kern w:val="0"/>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具备NMPA(CFDA)认证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sz w:val="20"/>
              </w:rPr>
              <w:t>产品注册证</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kern w:val="0"/>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采集工作站</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bookmarkStart w:id="21" w:name="OLE_LINK121"/>
            <w:bookmarkStart w:id="22" w:name="OLE_LINK120"/>
            <w:r>
              <w:rPr>
                <w:rFonts w:ascii="黑体" w:hAnsi="黑体" w:eastAsia="黑体" w:cs="黑体"/>
                <w:kern w:val="0"/>
                <w:sz w:val="20"/>
              </w:rPr>
              <w:t>处理器i5、内存16GB、硬盘256GB</w:t>
            </w:r>
            <w:r>
              <w:rPr>
                <w:rFonts w:hint="eastAsia" w:ascii="黑体" w:hAnsi="黑体" w:eastAsia="黑体" w:cs="黑体"/>
                <w:kern w:val="0"/>
                <w:sz w:val="20"/>
              </w:rPr>
              <w:t xml:space="preserve"> </w:t>
            </w:r>
            <w:r>
              <w:rPr>
                <w:rFonts w:ascii="黑体" w:hAnsi="黑体" w:eastAsia="黑体" w:cs="黑体"/>
                <w:kern w:val="0"/>
                <w:sz w:val="20"/>
              </w:rPr>
              <w:t>SSD</w:t>
            </w:r>
            <w:r>
              <w:rPr>
                <w:rFonts w:hint="eastAsia" w:ascii="黑体" w:hAnsi="黑体" w:eastAsia="黑体" w:cs="黑体"/>
                <w:kern w:val="0"/>
                <w:sz w:val="20"/>
              </w:rPr>
              <w:t xml:space="preserve"> </w:t>
            </w:r>
            <w:r>
              <w:rPr>
                <w:rFonts w:ascii="黑体" w:hAnsi="黑体" w:eastAsia="黑体" w:cs="黑体"/>
                <w:kern w:val="0"/>
                <w:sz w:val="20"/>
              </w:rPr>
              <w:t>+</w:t>
            </w:r>
            <w:r>
              <w:rPr>
                <w:rFonts w:hint="eastAsia" w:ascii="黑体" w:hAnsi="黑体" w:eastAsia="黑体" w:cs="黑体"/>
                <w:kern w:val="0"/>
                <w:sz w:val="20"/>
              </w:rPr>
              <w:t xml:space="preserve"> </w:t>
            </w:r>
            <w:r>
              <w:rPr>
                <w:rFonts w:ascii="黑体" w:hAnsi="黑体" w:eastAsia="黑体" w:cs="黑体"/>
                <w:kern w:val="0"/>
                <w:sz w:val="20"/>
              </w:rPr>
              <w:t>2TB、24寸2K高清显示器</w:t>
            </w:r>
            <w:bookmarkEnd w:id="21"/>
            <w:bookmarkEnd w:id="22"/>
            <w:r>
              <w:rPr>
                <w:rFonts w:ascii="黑体" w:hAnsi="黑体" w:eastAsia="黑体" w:cs="黑体"/>
                <w:kern w:val="0"/>
                <w:sz w:val="20"/>
              </w:rPr>
              <w:t>（分辨率2560x1440）</w:t>
            </w:r>
            <w:r>
              <w:rPr>
                <w:rFonts w:hint="eastAsia" w:ascii="黑体" w:hAnsi="黑体" w:eastAsia="黑体" w:cs="黑体"/>
                <w:kern w:val="0"/>
                <w:sz w:val="20"/>
              </w:rPr>
              <w:t>，Windows 1</w:t>
            </w:r>
            <w:r>
              <w:rPr>
                <w:rFonts w:ascii="黑体" w:hAnsi="黑体" w:eastAsia="黑体" w:cs="黑体"/>
                <w:kern w:val="0"/>
                <w:sz w:val="20"/>
              </w:rPr>
              <w:t>1</w:t>
            </w:r>
            <w:r>
              <w:rPr>
                <w:rFonts w:hint="eastAsia" w:ascii="黑体" w:hAnsi="黑体" w:eastAsia="黑体" w:cs="黑体"/>
                <w:kern w:val="0"/>
                <w:sz w:val="20"/>
              </w:rPr>
              <w:t xml:space="preserve"> 64位及以上操作系统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kern w:val="0"/>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主机数据接口</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cs="宋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放大器接口</w:t>
            </w:r>
            <w:bookmarkStart w:id="23" w:name="OLE_LINK71"/>
            <w:bookmarkStart w:id="24" w:name="OLE_LINK72"/>
            <w:r>
              <w:rPr>
                <w:rFonts w:hint="eastAsia" w:ascii="黑体" w:hAnsi="黑体" w:eastAsia="黑体" w:cs="黑体"/>
                <w:kern w:val="0"/>
                <w:sz w:val="20"/>
              </w:rPr>
              <w:t>≥</w:t>
            </w:r>
            <w:r>
              <w:rPr>
                <w:rFonts w:ascii="黑体" w:hAnsi="黑体" w:eastAsia="黑体" w:cs="黑体"/>
                <w:kern w:val="0"/>
                <w:sz w:val="20"/>
              </w:rPr>
              <w:t>1</w:t>
            </w:r>
            <w:bookmarkEnd w:id="23"/>
            <w:bookmarkEnd w:id="24"/>
            <w:bookmarkStart w:id="25" w:name="OLE_LINK74"/>
            <w:bookmarkStart w:id="26" w:name="OLE_LINK73"/>
            <w:r>
              <w:rPr>
                <w:rFonts w:hint="eastAsia" w:ascii="黑体" w:hAnsi="黑体" w:eastAsia="黑体" w:cs="黑体"/>
                <w:kern w:val="0"/>
                <w:sz w:val="20"/>
              </w:rPr>
              <w:t>个</w:t>
            </w:r>
            <w:bookmarkEnd w:id="25"/>
            <w:bookmarkEnd w:id="26"/>
            <w:r>
              <w:rPr>
                <w:rFonts w:hint="eastAsia" w:ascii="黑体" w:hAnsi="黑体" w:eastAsia="黑体" w:cs="黑体"/>
                <w:kern w:val="0"/>
                <w:sz w:val="20"/>
              </w:rPr>
              <w:t>；网络接口≥</w:t>
            </w:r>
            <w:r>
              <w:rPr>
                <w:rFonts w:ascii="黑体" w:hAnsi="黑体" w:eastAsia="黑体" w:cs="黑体"/>
                <w:kern w:val="0"/>
                <w:sz w:val="20"/>
              </w:rPr>
              <w:t>1</w:t>
            </w:r>
            <w:bookmarkStart w:id="27" w:name="OLE_LINK24"/>
            <w:bookmarkStart w:id="28" w:name="OLE_LINK25"/>
            <w:bookmarkStart w:id="29" w:name="OLE_LINK41"/>
            <w:bookmarkStart w:id="30" w:name="OLE_LINK40"/>
            <w:r>
              <w:rPr>
                <w:rFonts w:hint="eastAsia" w:ascii="黑体" w:hAnsi="黑体" w:eastAsia="黑体" w:cs="黑体"/>
                <w:kern w:val="0"/>
                <w:sz w:val="20"/>
              </w:rPr>
              <w:t>个；事件按键</w:t>
            </w:r>
            <w:bookmarkEnd w:id="27"/>
            <w:bookmarkEnd w:id="28"/>
            <w:r>
              <w:rPr>
                <w:rFonts w:hint="eastAsia" w:ascii="黑体" w:hAnsi="黑体" w:eastAsia="黑体" w:cs="黑体"/>
                <w:kern w:val="0"/>
                <w:sz w:val="20"/>
              </w:rPr>
              <w:t>接口≥</w:t>
            </w:r>
            <w:bookmarkEnd w:id="29"/>
            <w:bookmarkEnd w:id="30"/>
            <w:r>
              <w:rPr>
                <w:rFonts w:ascii="黑体" w:hAnsi="黑体" w:eastAsia="黑体" w:cs="黑体"/>
                <w:kern w:val="0"/>
                <w:sz w:val="20"/>
              </w:rPr>
              <w:t>1</w:t>
            </w:r>
            <w:r>
              <w:rPr>
                <w:rFonts w:hint="eastAsia" w:ascii="黑体" w:hAnsi="黑体" w:eastAsia="黑体" w:cs="黑体"/>
                <w:kern w:val="0"/>
                <w:sz w:val="20"/>
              </w:rPr>
              <w:t>个；Trigger</w:t>
            </w:r>
            <w:r>
              <w:rPr>
                <w:rFonts w:ascii="黑体" w:hAnsi="黑体" w:eastAsia="黑体" w:cs="黑体"/>
                <w:kern w:val="0"/>
                <w:sz w:val="20"/>
              </w:rPr>
              <w:t>-</w:t>
            </w:r>
            <w:r>
              <w:rPr>
                <w:rFonts w:hint="eastAsia" w:ascii="黑体" w:hAnsi="黑体" w:eastAsia="黑体" w:cs="黑体"/>
                <w:kern w:val="0"/>
                <w:sz w:val="20"/>
              </w:rPr>
              <w:t>In接口≥1个；USB接口≥</w:t>
            </w:r>
            <w:bookmarkStart w:id="31" w:name="OLE_LINK75"/>
            <w:bookmarkStart w:id="32" w:name="OLE_LINK76"/>
            <w:r>
              <w:rPr>
                <w:rFonts w:ascii="黑体" w:hAnsi="黑体" w:eastAsia="黑体" w:cs="黑体"/>
                <w:kern w:val="0"/>
                <w:sz w:val="20"/>
              </w:rPr>
              <w:t>2</w:t>
            </w:r>
            <w:r>
              <w:rPr>
                <w:rFonts w:hint="eastAsia" w:ascii="黑体" w:hAnsi="黑体" w:eastAsia="黑体" w:cs="黑体"/>
                <w:kern w:val="0"/>
                <w:sz w:val="20"/>
              </w:rPr>
              <w:t>个</w:t>
            </w:r>
            <w:bookmarkEnd w:id="31"/>
            <w:bookmarkEnd w:id="32"/>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kern w:val="0"/>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设备连接方式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cs="宋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可通过网线、USB连接采集电脑</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ascii="黑体" w:hAnsi="黑体" w:eastAsia="黑体" w:cs="黑体"/>
                <w:kern w:val="0"/>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多参数同步采集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通过专用Trigger</w:t>
            </w:r>
            <w:r>
              <w:rPr>
                <w:rFonts w:ascii="黑体" w:hAnsi="黑体" w:eastAsia="黑体" w:cs="黑体"/>
                <w:kern w:val="0"/>
                <w:sz w:val="20"/>
              </w:rPr>
              <w:t>-</w:t>
            </w:r>
            <w:r>
              <w:rPr>
                <w:rFonts w:hint="eastAsia" w:ascii="黑体" w:hAnsi="黑体" w:eastAsia="黑体" w:cs="黑体"/>
                <w:kern w:val="0"/>
                <w:sz w:val="20"/>
              </w:rPr>
              <w:t>In接口，实现通过外部设备进行多参数信号的同步采集。如：TMS同步脑电（TMS</w:t>
            </w:r>
            <w:bookmarkStart w:id="33" w:name="OLE_LINK63"/>
            <w:bookmarkStart w:id="34" w:name="OLE_LINK64"/>
            <w:r>
              <w:rPr>
                <w:rFonts w:hint="eastAsia" w:ascii="黑体" w:hAnsi="黑体" w:eastAsia="黑体" w:cs="黑体"/>
                <w:kern w:val="0"/>
                <w:sz w:val="20"/>
              </w:rPr>
              <w:t>-EEG</w:t>
            </w:r>
            <w:bookmarkEnd w:id="33"/>
            <w:bookmarkEnd w:id="34"/>
            <w:r>
              <w:rPr>
                <w:rFonts w:hint="eastAsia" w:ascii="黑体" w:hAnsi="黑体" w:eastAsia="黑体" w:cs="黑体"/>
                <w:kern w:val="0"/>
                <w:sz w:val="20"/>
              </w:rPr>
              <w:t>）、</w:t>
            </w:r>
            <w:bookmarkStart w:id="35" w:name="OLE_LINK66"/>
            <w:bookmarkStart w:id="36" w:name="OLE_LINK65"/>
            <w:r>
              <w:rPr>
                <w:rFonts w:hint="eastAsia" w:ascii="黑体" w:hAnsi="黑体" w:eastAsia="黑体" w:cs="黑体"/>
                <w:kern w:val="0"/>
                <w:sz w:val="20"/>
              </w:rPr>
              <w:t>f</w:t>
            </w:r>
            <w:bookmarkStart w:id="37" w:name="OLE_LINK62"/>
            <w:bookmarkStart w:id="38" w:name="OLE_LINK61"/>
            <w:r>
              <w:rPr>
                <w:rFonts w:hint="eastAsia" w:ascii="黑体" w:hAnsi="黑体" w:eastAsia="黑体" w:cs="黑体"/>
                <w:kern w:val="0"/>
                <w:sz w:val="20"/>
              </w:rPr>
              <w:t>NIRS</w:t>
            </w:r>
            <w:bookmarkEnd w:id="35"/>
            <w:bookmarkEnd w:id="36"/>
            <w:bookmarkEnd w:id="37"/>
            <w:bookmarkEnd w:id="38"/>
            <w:r>
              <w:rPr>
                <w:rFonts w:hint="eastAsia" w:ascii="黑体" w:hAnsi="黑体" w:eastAsia="黑体" w:cs="黑体"/>
                <w:kern w:val="0"/>
                <w:sz w:val="20"/>
              </w:rPr>
              <w:t>同步脑电（fNIRS-EEG）等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音视频端口</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音频输出≥</w:t>
            </w:r>
            <w:r>
              <w:rPr>
                <w:rFonts w:ascii="黑体" w:hAnsi="黑体" w:eastAsia="黑体" w:cs="黑体"/>
                <w:kern w:val="0"/>
                <w:sz w:val="20"/>
              </w:rPr>
              <w:t>1</w:t>
            </w:r>
            <w:r>
              <w:rPr>
                <w:rFonts w:hint="eastAsia" w:ascii="黑体" w:hAnsi="黑体" w:eastAsia="黑体" w:cs="黑体"/>
                <w:kern w:val="0"/>
                <w:sz w:val="20"/>
              </w:rPr>
              <w:t>个；音频输入≥</w:t>
            </w:r>
            <w:r>
              <w:rPr>
                <w:rFonts w:ascii="黑体" w:hAnsi="黑体" w:eastAsia="黑体" w:cs="黑体"/>
                <w:kern w:val="0"/>
                <w:sz w:val="20"/>
              </w:rPr>
              <w:t>1</w:t>
            </w:r>
            <w:r>
              <w:rPr>
                <w:rFonts w:hint="eastAsia" w:ascii="黑体" w:hAnsi="黑体" w:eastAsia="黑体" w:cs="黑体"/>
                <w:kern w:val="0"/>
                <w:sz w:val="20"/>
              </w:rPr>
              <w:t>个；HDMI高清视频输出≥1个</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放大器通道</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脑电（EEG）输入端</w:t>
            </w:r>
            <w:bookmarkStart w:id="39" w:name="OLE_LINK17"/>
            <w:bookmarkStart w:id="40" w:name="OLE_LINK18"/>
            <w:r>
              <w:rPr>
                <w:rFonts w:hint="eastAsia" w:ascii="黑体" w:hAnsi="黑体" w:eastAsia="黑体" w:cs="黑体"/>
                <w:kern w:val="0"/>
                <w:sz w:val="20"/>
              </w:rPr>
              <w:t>≥</w:t>
            </w:r>
            <w:bookmarkEnd w:id="39"/>
            <w:bookmarkEnd w:id="40"/>
            <w:r>
              <w:rPr>
                <w:rFonts w:ascii="黑体" w:hAnsi="黑体" w:eastAsia="黑体" w:cs="黑体"/>
                <w:kern w:val="0"/>
                <w:sz w:val="20"/>
              </w:rPr>
              <w:t>48</w:t>
            </w:r>
            <w:r>
              <w:rPr>
                <w:rFonts w:hint="eastAsia" w:ascii="黑体" w:hAnsi="黑体" w:eastAsia="黑体" w:cs="黑体"/>
                <w:kern w:val="0"/>
                <w:sz w:val="20"/>
              </w:rPr>
              <w:t>个、双极输入端</w:t>
            </w:r>
            <w:bookmarkStart w:id="41" w:name="OLE_LINK42"/>
            <w:bookmarkStart w:id="42" w:name="OLE_LINK43"/>
            <w:r>
              <w:rPr>
                <w:rFonts w:hint="eastAsia" w:ascii="黑体" w:hAnsi="黑体" w:eastAsia="黑体" w:cs="黑体"/>
                <w:kern w:val="0"/>
                <w:sz w:val="20"/>
              </w:rPr>
              <w:t>≥</w:t>
            </w:r>
            <w:bookmarkEnd w:id="41"/>
            <w:bookmarkEnd w:id="42"/>
            <w:r>
              <w:rPr>
                <w:rFonts w:hint="eastAsia" w:ascii="黑体" w:hAnsi="黑体" w:eastAsia="黑体" w:cs="黑体"/>
                <w:kern w:val="0"/>
                <w:sz w:val="20"/>
              </w:rPr>
              <w:t>9对（可作为1</w:t>
            </w:r>
            <w:r>
              <w:rPr>
                <w:rFonts w:ascii="黑体" w:hAnsi="黑体" w:eastAsia="黑体" w:cs="黑体"/>
                <w:kern w:val="0"/>
                <w:sz w:val="20"/>
              </w:rPr>
              <w:t>8</w:t>
            </w:r>
            <w:r>
              <w:rPr>
                <w:rFonts w:hint="eastAsia" w:ascii="黑体" w:hAnsi="黑体" w:eastAsia="黑体" w:cs="黑体"/>
                <w:kern w:val="0"/>
                <w:sz w:val="20"/>
              </w:rPr>
              <w:t>个脑电输入端）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头盒采用改良1</w:t>
            </w:r>
            <w:r>
              <w:rPr>
                <w:rFonts w:ascii="黑体" w:hAnsi="黑体" w:eastAsia="黑体" w:cs="黑体"/>
                <w:kern w:val="0"/>
                <w:sz w:val="20"/>
              </w:rPr>
              <w:t>0-20</w:t>
            </w:r>
            <w:r>
              <w:rPr>
                <w:rFonts w:hint="eastAsia" w:ascii="黑体" w:hAnsi="黑体" w:eastAsia="黑体" w:cs="黑体"/>
                <w:kern w:val="0"/>
                <w:sz w:val="20"/>
              </w:rPr>
              <w:t>系统</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具有专用的F</w:t>
            </w:r>
            <w:r>
              <w:rPr>
                <w:rFonts w:ascii="黑体" w:hAnsi="黑体" w:eastAsia="黑体" w:cs="黑体"/>
                <w:kern w:val="0"/>
                <w:sz w:val="20"/>
              </w:rPr>
              <w:t>9</w:t>
            </w:r>
            <w:r>
              <w:rPr>
                <w:rFonts w:hint="eastAsia" w:ascii="黑体" w:hAnsi="黑体" w:eastAsia="黑体" w:cs="黑体"/>
                <w:kern w:val="0"/>
                <w:sz w:val="20"/>
              </w:rPr>
              <w:t>、F</w:t>
            </w:r>
            <w:r>
              <w:rPr>
                <w:rFonts w:ascii="黑体" w:hAnsi="黑体" w:eastAsia="黑体" w:cs="黑体"/>
                <w:kern w:val="0"/>
                <w:sz w:val="20"/>
              </w:rPr>
              <w:t>10</w:t>
            </w:r>
            <w:r>
              <w:rPr>
                <w:rFonts w:hint="eastAsia" w:ascii="黑体" w:hAnsi="黑体" w:eastAsia="黑体" w:cs="黑体"/>
                <w:kern w:val="0"/>
                <w:sz w:val="20"/>
              </w:rPr>
              <w:t>、T9、T10、P9、P10插孔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其他导联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接地端口（GND）≥2个、参考电极（REF）端口≥2个、主动屏蔽电极（SHD）端口≥1个</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脑电帽快接端口</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放大器自身集成脑电帽快接端口，无需使用转接器，确保连接的稳定性。可通过单一接口将高密度脑电帽快速连接至放大器，无需每个通道逐一插拔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DC接口</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≥4个，可将外部设备、传感器的信号接入脑电系统进行联合监测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其它专用功能接口</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血氧脉率≥</w:t>
            </w:r>
            <w:r>
              <w:rPr>
                <w:rFonts w:ascii="黑体" w:hAnsi="黑体" w:eastAsia="黑体" w:cs="黑体"/>
                <w:kern w:val="0"/>
                <w:sz w:val="20"/>
              </w:rPr>
              <w:t>1</w:t>
            </w:r>
            <w:r>
              <w:rPr>
                <w:rFonts w:hint="eastAsia" w:ascii="黑体" w:hAnsi="黑体" w:eastAsia="黑体" w:cs="黑体"/>
                <w:kern w:val="0"/>
                <w:sz w:val="20"/>
              </w:rPr>
              <w:t>个；脑氧≥</w:t>
            </w:r>
            <w:r>
              <w:rPr>
                <w:rFonts w:ascii="黑体" w:hAnsi="黑体" w:eastAsia="黑体" w:cs="黑体"/>
                <w:kern w:val="0"/>
                <w:sz w:val="20"/>
              </w:rPr>
              <w:t>1</w:t>
            </w:r>
            <w:r>
              <w:rPr>
                <w:rFonts w:hint="eastAsia" w:ascii="黑体" w:hAnsi="黑体" w:eastAsia="黑体" w:cs="黑体"/>
                <w:kern w:val="0"/>
                <w:sz w:val="20"/>
              </w:rPr>
              <w:t>个；CO2≥</w:t>
            </w:r>
            <w:r>
              <w:rPr>
                <w:rFonts w:ascii="黑体" w:hAnsi="黑体" w:eastAsia="黑体" w:cs="黑体"/>
                <w:kern w:val="0"/>
                <w:sz w:val="20"/>
              </w:rPr>
              <w:t>1</w:t>
            </w:r>
            <w:r>
              <w:rPr>
                <w:rFonts w:hint="eastAsia" w:ascii="黑体" w:hAnsi="黑体" w:eastAsia="黑体" w:cs="黑体"/>
                <w:kern w:val="0"/>
                <w:sz w:val="20"/>
              </w:rPr>
              <w:t>个；事件按键接口：</w:t>
            </w:r>
            <w:bookmarkStart w:id="43" w:name="OLE_LINK58"/>
            <w:bookmarkStart w:id="44" w:name="OLE_LINK57"/>
            <w:r>
              <w:rPr>
                <w:rFonts w:hint="eastAsia" w:ascii="黑体" w:hAnsi="黑体" w:eastAsia="黑体" w:cs="黑体"/>
                <w:kern w:val="0"/>
                <w:sz w:val="20"/>
              </w:rPr>
              <w:t>≥</w:t>
            </w:r>
            <w:r>
              <w:rPr>
                <w:rFonts w:ascii="黑体" w:hAnsi="黑体" w:eastAsia="黑体" w:cs="黑体"/>
                <w:kern w:val="0"/>
                <w:sz w:val="20"/>
              </w:rPr>
              <w:t>1</w:t>
            </w:r>
            <w:r>
              <w:rPr>
                <w:rFonts w:hint="eastAsia" w:ascii="黑体" w:hAnsi="黑体" w:eastAsia="黑体" w:cs="黑体"/>
                <w:kern w:val="0"/>
                <w:sz w:val="20"/>
              </w:rPr>
              <w:t>个</w:t>
            </w:r>
            <w:bookmarkEnd w:id="43"/>
            <w:bookmarkEnd w:id="44"/>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定标电压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标称值为100μVp-p，最大允许误差±2%</w:t>
            </w:r>
          </w:p>
          <w:p>
            <w:pPr>
              <w:widowControl/>
              <w:spacing w:line="240" w:lineRule="exact"/>
              <w:jc w:val="left"/>
              <w:textAlignment w:val="center"/>
              <w:rPr>
                <w:rFonts w:hint="eastAsia" w:ascii="黑体" w:hAnsi="黑体" w:eastAsia="黑体" w:cs="黑体"/>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电压测量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最大允许误差±5%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时间间隔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最大允许误差±5%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53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幅频特性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(1～60)Hz，最大允许误差+5%～-30%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噪声电平</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不大于1μVp-p（峰峰值）</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19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共模抑制比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输入频率10Hz时，各道不小于125dB</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输入阻抗</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对于10Hz正弦波信号，各道不小于130MΩ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数模转换分辨率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24bit</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采样频率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采样率最高1</w:t>
            </w:r>
            <w:r>
              <w:rPr>
                <w:rFonts w:ascii="黑体" w:hAnsi="黑体" w:eastAsia="黑体" w:cs="黑体"/>
                <w:kern w:val="0"/>
                <w:sz w:val="20"/>
              </w:rPr>
              <w:t>6,000</w:t>
            </w:r>
            <w:r>
              <w:rPr>
                <w:rFonts w:hint="eastAsia" w:ascii="黑体" w:hAnsi="黑体" w:eastAsia="黑体" w:cs="黑体"/>
                <w:kern w:val="0"/>
                <w:sz w:val="20"/>
              </w:rPr>
              <w:t>Hz，全通道可同时以4</w:t>
            </w:r>
            <w:r>
              <w:rPr>
                <w:rFonts w:ascii="黑体" w:hAnsi="黑体" w:eastAsia="黑体" w:cs="黑体"/>
                <w:kern w:val="0"/>
                <w:sz w:val="20"/>
              </w:rPr>
              <w:t>000</w:t>
            </w:r>
            <w:r>
              <w:rPr>
                <w:rFonts w:hint="eastAsia" w:ascii="黑体" w:hAnsi="黑体" w:eastAsia="黑体" w:cs="黑体"/>
                <w:kern w:val="0"/>
                <w:sz w:val="20"/>
              </w:rPr>
              <w:t>Hz采样记录信号</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p>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23</w:t>
            </w:r>
          </w:p>
          <w:p>
            <w:pPr>
              <w:widowControl/>
              <w:spacing w:line="240" w:lineRule="exact"/>
              <w:jc w:val="center"/>
              <w:textAlignment w:val="center"/>
              <w:rPr>
                <w:rFonts w:hint="eastAsia" w:ascii="黑体" w:hAnsi="黑体" w:eastAsia="黑体" w:cs="黑体"/>
                <w:kern w:val="0"/>
                <w:sz w:val="20"/>
              </w:rPr>
            </w:pP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耐极化电压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加±300mV的直流极化电压，偏差不超过±5%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功率谱幅度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误差不超过+10%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566"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功率谱频率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误差不超过+5%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低频滤波</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0.01Hz、0.016Hz、0.02Hz、0.031Hz、0.08Hz、0.16Hz、0.27Hz、0.3Hz、0.5Hz、0.53Hz、1Hz、1.6Hz、2Hz、2.5Hz、3Hz、5Hz、5.3Hz、15Hz、30Hz、35Hz、50Hz、53Hz、60Hz、70Hz、80Hz、100Hz、120Hz、159Hz、250Hz、300Hz、500Hz可选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高频滤波</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2Hz、3Hz、4Hz、5Hz、7Hz、9Hz、10Hz、15Hz、20Hz、25Hz、30Hz、35Hz、40Hz、50Hz、60Hz、70Hz、100Hz、120Hz、150Hz、2</w:t>
            </w:r>
            <w:r>
              <w:rPr>
                <w:rFonts w:ascii="黑体" w:hAnsi="黑体" w:eastAsia="黑体" w:cs="黑体"/>
                <w:kern w:val="0"/>
                <w:sz w:val="20"/>
              </w:rPr>
              <w:t>00</w:t>
            </w:r>
            <w:r>
              <w:rPr>
                <w:rFonts w:hint="eastAsia" w:ascii="黑体" w:hAnsi="黑体" w:eastAsia="黑体" w:cs="黑体"/>
                <w:kern w:val="0"/>
                <w:sz w:val="20"/>
              </w:rPr>
              <w:t>Hz、2</w:t>
            </w:r>
            <w:r>
              <w:rPr>
                <w:rFonts w:ascii="黑体" w:hAnsi="黑体" w:eastAsia="黑体" w:cs="黑体"/>
                <w:kern w:val="0"/>
                <w:sz w:val="20"/>
              </w:rPr>
              <w:t>50</w:t>
            </w:r>
            <w:r>
              <w:rPr>
                <w:rFonts w:hint="eastAsia" w:ascii="黑体" w:hAnsi="黑体" w:eastAsia="黑体" w:cs="黑体"/>
                <w:kern w:val="0"/>
                <w:sz w:val="20"/>
              </w:rPr>
              <w:t>Hz、3</w:t>
            </w:r>
            <w:r>
              <w:rPr>
                <w:rFonts w:ascii="黑体" w:hAnsi="黑体" w:eastAsia="黑体" w:cs="黑体"/>
                <w:kern w:val="0"/>
                <w:sz w:val="20"/>
              </w:rPr>
              <w:t>00</w:t>
            </w:r>
            <w:r>
              <w:rPr>
                <w:rFonts w:hint="eastAsia" w:ascii="黑体" w:hAnsi="黑体" w:eastAsia="黑体" w:cs="黑体"/>
                <w:kern w:val="0"/>
                <w:sz w:val="20"/>
              </w:rPr>
              <w:t>Hz、5</w:t>
            </w:r>
            <w:r>
              <w:rPr>
                <w:rFonts w:ascii="黑体" w:hAnsi="黑体" w:eastAsia="黑体" w:cs="黑体"/>
                <w:kern w:val="0"/>
                <w:sz w:val="20"/>
              </w:rPr>
              <w:t>00</w:t>
            </w:r>
            <w:r>
              <w:rPr>
                <w:rFonts w:hint="eastAsia" w:ascii="黑体" w:hAnsi="黑体" w:eastAsia="黑体" w:cs="黑体"/>
                <w:kern w:val="0"/>
                <w:sz w:val="20"/>
              </w:rPr>
              <w:t>Hz内可选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头盒电极插孔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具备防水设计，保护内部电路板</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29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头盒</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具备防撞硅胶外套，提高设备耐用性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事件按键微光设计</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bookmarkStart w:id="45" w:name="OLE_LINK36"/>
            <w:bookmarkStart w:id="46" w:name="OLE_LINK37"/>
            <w:r>
              <w:rPr>
                <w:rFonts w:hint="eastAsia" w:ascii="黑体" w:hAnsi="黑体" w:eastAsia="黑体" w:cs="黑体"/>
                <w:kern w:val="0"/>
                <w:sz w:val="20"/>
              </w:rPr>
              <w:t>按键装置头端具备微光LED，可在夜晚帮助医护人员快速找到按键</w:t>
            </w:r>
            <w:bookmarkEnd w:id="45"/>
            <w:bookmarkEnd w:id="46"/>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医用台车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配备4轮轴承轮组，保证台车移动的平稳性、顺滑性</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脑电数据采集、存储、实时显示、历史回放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软件接收存储原始数据，并可实时显示信号波形；并可对显示参数进行实时调整；可对已记录的数据进行离线回放</w:t>
            </w:r>
          </w:p>
          <w:p>
            <w:pPr>
              <w:widowControl/>
              <w:spacing w:line="240" w:lineRule="exact"/>
              <w:jc w:val="left"/>
              <w:textAlignment w:val="center"/>
              <w:rPr>
                <w:rFonts w:hint="eastAsia" w:ascii="黑体" w:hAnsi="黑体" w:eastAsia="黑体" w:cs="黑体"/>
                <w:kern w:val="0"/>
                <w:sz w:val="20"/>
              </w:rPr>
            </w:pP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数据在线回放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可在数据录制过程中，回看已录制的部分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数据独立回放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可将采集完成的数据导出为独立数据包，可在任何未安装本设备软件系统的电脑上直接回看采集数据，方便学术交流、教学等使用目的</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棘波密度统计</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通过人工智能算法，自动识别、统计棘波发放情况，帮助医生快速定位发作片段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147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HFO实时提示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将指定的高频振荡频带能量以背景颜色的形式，叠加在原始波形后面，通过颜色有误、深浅实时提示高频能量发放的时序、空间信息。数据采集、回放过程同时具备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rPr>
              <w:t>技术</w:t>
            </w:r>
            <w:r>
              <w:rPr>
                <w:rFonts w:hint="eastAsia"/>
                <w:lang w:eastAsia="zh-CN"/>
              </w:rPr>
              <w:t>白皮书或彩页</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阻抗检测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可进行在线阻抗监测和离线阻抗检测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信号质量监测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从原始信号的频域上多维度分析信号质量，医护人员可以直观的从各导联信号质量的颜色标记了解实时的信号质量情况（非传统阻抗检测，提供软件界面截图，采集界面各通道需要有信号质量的颜色标记）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39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头盒热插拔功能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患者可在临时离开病床时拔掉头盒数据线，而无需摘掉电极。重新插回数据线缆，软件系统可自动重新开始采集数据，无需其它人为操作。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断电数据保护</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系统断电重启后，断电前数据不丢失</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事件标记</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具有软硬件两种事件标记方式，并可对标记进行编辑调整；实时记录事件列表，可回放查看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脑电测量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具有标尺测量和框选测量两种方式，测量幅值、时间和频率信息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视频控制、记录和回放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可对摄像头角度等参数进行调整，进行视频数据的记录和回放；视频数据与脑电数据同步，可进行联动定位</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139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脑电系统录制的视频分辨率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支持</w:t>
            </w:r>
            <w:r>
              <w:rPr>
                <w:rFonts w:ascii="黑体" w:hAnsi="黑体" w:eastAsia="黑体" w:cs="黑体"/>
                <w:kern w:val="0"/>
                <w:sz w:val="20"/>
              </w:rPr>
              <w:t>1920×1080@30fps</w:t>
            </w:r>
            <w:bookmarkStart w:id="47" w:name="OLE_LINK27"/>
            <w:bookmarkStart w:id="48" w:name="OLE_LINK26"/>
            <w:r>
              <w:rPr>
                <w:rFonts w:hint="eastAsia" w:ascii="黑体" w:hAnsi="黑体" w:eastAsia="黑体" w:cs="黑体"/>
                <w:kern w:val="0"/>
                <w:sz w:val="20"/>
              </w:rPr>
              <w:t>分辨率/帧率</w:t>
            </w:r>
            <w:bookmarkEnd w:id="47"/>
            <w:bookmarkEnd w:id="48"/>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脑电系统</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支持双路</w:t>
            </w:r>
            <w:r>
              <w:rPr>
                <w:rFonts w:ascii="黑体" w:hAnsi="黑体" w:eastAsia="黑体" w:cs="黑体"/>
                <w:kern w:val="0"/>
                <w:sz w:val="20"/>
              </w:rPr>
              <w:t>1920×1080@30fps</w:t>
            </w:r>
            <w:r>
              <w:rPr>
                <w:rFonts w:hint="eastAsia" w:ascii="黑体" w:hAnsi="黑体" w:eastAsia="黑体" w:cs="黑体"/>
                <w:kern w:val="0"/>
                <w:sz w:val="20"/>
              </w:rPr>
              <w:t>视频、脑电、以及其他同步录制的生理参数同步回放，回放稳定不卡顿</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动作识别</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可自动识别视频中的运动，以红色阴影进行标注，辅助医生查看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具备脑电地形图功能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可设置重参考、可选择计算的脑电通道、自动或手动设定计算的时间范围、提供功率谱密度和峰值频率信息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48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具备患者信息管理系统，中文报告生成系统</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具有多种简洁实用的报告模板，可任意编辑相关内容</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p>
        </w:tc>
      </w:tr>
      <w:tr>
        <w:tblPrEx>
          <w:tblCellMar>
            <w:top w:w="0" w:type="dxa"/>
            <w:left w:w="108" w:type="dxa"/>
            <w:bottom w:w="0" w:type="dxa"/>
            <w:right w:w="108" w:type="dxa"/>
          </w:tblCellMar>
        </w:tblPrEx>
        <w:trPr>
          <w:trHeight w:val="222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49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配置要求</w:t>
            </w:r>
            <w:r>
              <w:rPr>
                <w:rFonts w:ascii="黑体" w:hAnsi="黑体" w:eastAsia="黑体" w:cs="黑体"/>
                <w:kern w:val="0"/>
                <w:sz w:val="20"/>
              </w:rPr>
              <w:t>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1.脑电采集工作站1套2.台车1台3.主机1套4.48通道放大器1套5.头盒连接线缆1根6.红外高清摄像头1套7.数字脑电采集软件1套8.</w:t>
            </w:r>
            <w:bookmarkStart w:id="49" w:name="OLE_LINK1"/>
            <w:r>
              <w:rPr>
                <w:rFonts w:hint="eastAsia" w:ascii="黑体" w:hAnsi="黑体" w:eastAsia="黑体" w:cs="黑体"/>
                <w:kern w:val="0"/>
                <w:sz w:val="20"/>
              </w:rPr>
              <w:t>医用安全电源适配器</w:t>
            </w:r>
            <w:bookmarkEnd w:id="49"/>
            <w:r>
              <w:rPr>
                <w:rFonts w:hint="eastAsia" w:ascii="黑体" w:hAnsi="黑体" w:eastAsia="黑体" w:cs="黑体"/>
                <w:kern w:val="0"/>
                <w:sz w:val="20"/>
              </w:rPr>
              <w:t>1套9.事件按键1个10.网线1根11.盘状电极3包（12根/包）12.医用导电膏1瓶13.医用磨砂导电膏1瓶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否</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499" w:hRule="atLeast"/>
        </w:trPr>
        <w:tc>
          <w:tcPr>
            <w:tcW w:w="5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kern w:val="0"/>
                <w:sz w:val="20"/>
              </w:rPr>
            </w:pPr>
            <w:r>
              <w:rPr>
                <w:rFonts w:ascii="黑体" w:hAnsi="宋体" w:eastAsia="黑体" w:cs="黑体"/>
                <w:kern w:val="0"/>
                <w:sz w:val="20"/>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技术偏离要求</w:t>
            </w:r>
          </w:p>
        </w:tc>
        <w:tc>
          <w:tcPr>
            <w:tcW w:w="721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kern w:val="0"/>
                <w:sz w:val="20"/>
              </w:rPr>
            </w:pPr>
            <w:r>
              <w:rPr>
                <w:rFonts w:hint="eastAsia" w:ascii="黑体" w:hAnsi="黑体" w:eastAsia="黑体" w:cs="黑体"/>
                <w:kern w:val="0"/>
                <w:sz w:val="20"/>
              </w:rPr>
              <w:t>▲标识的指标负偏离≥2项，投标企业技术分值为</w:t>
            </w:r>
            <w:r>
              <w:rPr>
                <w:rFonts w:ascii="黑体" w:hAnsi="黑体" w:eastAsia="黑体" w:cs="黑体"/>
                <w:kern w:val="0"/>
                <w:sz w:val="20"/>
              </w:rPr>
              <w:t>0</w:t>
            </w:r>
            <w:r>
              <w:rPr>
                <w:rFonts w:hint="eastAsia" w:ascii="黑体" w:hAnsi="黑体" w:eastAsia="黑体" w:cs="黑体"/>
                <w:kern w:val="0"/>
                <w:sz w:val="20"/>
              </w:rPr>
              <w:t>分</w:t>
            </w:r>
          </w:p>
          <w:p>
            <w:pPr>
              <w:widowControl/>
              <w:spacing w:line="240" w:lineRule="exact"/>
              <w:jc w:val="left"/>
              <w:rPr>
                <w:rFonts w:hint="eastAsia" w:ascii="黑体" w:hAnsi="黑体" w:eastAsia="黑体" w:cs="黑体"/>
                <w:kern w:val="0"/>
                <w:sz w:val="20"/>
              </w:rPr>
            </w:pPr>
            <w:r>
              <w:rPr>
                <w:rFonts w:hint="eastAsia" w:ascii="黑体" w:hAnsi="黑体" w:eastAsia="黑体" w:cs="黑体"/>
                <w:kern w:val="0"/>
                <w:sz w:val="20"/>
              </w:rPr>
              <w:t>▲标识的指标和“无标识”指标负偏离≥4项，投标企业技术分值为</w:t>
            </w:r>
            <w:r>
              <w:rPr>
                <w:rFonts w:ascii="黑体" w:hAnsi="黑体" w:eastAsia="黑体" w:cs="黑体"/>
                <w:kern w:val="0"/>
                <w:sz w:val="20"/>
              </w:rPr>
              <w:t>0</w:t>
            </w:r>
            <w:r>
              <w:rPr>
                <w:rFonts w:hint="eastAsia" w:ascii="黑体" w:hAnsi="黑体" w:eastAsia="黑体" w:cs="黑体"/>
                <w:kern w:val="0"/>
                <w:sz w:val="20"/>
              </w:rPr>
              <w:t>分</w:t>
            </w:r>
          </w:p>
        </w:tc>
      </w:tr>
      <w:tr>
        <w:tblPrEx>
          <w:tblCellMar>
            <w:top w:w="0" w:type="dxa"/>
            <w:left w:w="108" w:type="dxa"/>
            <w:bottom w:w="0" w:type="dxa"/>
            <w:right w:w="108" w:type="dxa"/>
          </w:tblCellMar>
        </w:tblPrEx>
        <w:trPr>
          <w:trHeight w:val="1062" w:hRule="atLeast"/>
        </w:trPr>
        <w:tc>
          <w:tcPr>
            <w:tcW w:w="9106"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after="62" w:afterLines="20" w:line="300" w:lineRule="exact"/>
              <w:ind w:left="420" w:leftChars="200"/>
              <w:jc w:val="left"/>
              <w:textAlignment w:val="center"/>
              <w:rPr>
                <w:rFonts w:ascii="宋体" w:cs="宋体"/>
                <w:sz w:val="22"/>
                <w:szCs w:val="22"/>
              </w:rPr>
            </w:pPr>
            <w:r>
              <w:rPr>
                <w:rFonts w:hint="eastAsia" w:ascii="黑体" w:hAnsi="宋体" w:eastAsia="黑体" w:cs="黑体"/>
                <w:i w:val="0"/>
                <w:color w:val="000000"/>
                <w:kern w:val="0"/>
                <w:sz w:val="22"/>
                <w:szCs w:val="22"/>
                <w:u w:val="none"/>
                <w:lang w:val="en-US" w:eastAsia="zh-CN" w:bidi="ar"/>
              </w:rPr>
              <w:t>注：1.★指标为必须响应指标，任意一项不满足要求即做废标处理；</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2.★及▲标识的指标，无法明确的默认由企业提供承诺；</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3.经济要求不接受企业负偏离。</w:t>
            </w:r>
          </w:p>
        </w:tc>
      </w:tr>
    </w:tbl>
    <w:p>
      <w:bookmarkStart w:id="50" w:name="_GoBack"/>
      <w:bookmarkEnd w:id="5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5ACC1"/>
    <w:multiLevelType w:val="singleLevel"/>
    <w:tmpl w:val="1B85AC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E6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2025-04-24T00:14:26Z</dcterms:created>
  <dc:creator>admin</dc:creator>
  <cp:lastModifiedBy>admin</cp:lastModifiedBy>
  <dcterms:modified xsi:type="dcterms:W3CDTF">2025-04-24T00:14:57Z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