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0" w:name="_Toc22387"/>
      <w:bookmarkStart w:id="1" w:name="_Toc130887499"/>
      <w:bookmarkStart w:id="2" w:name="_Toc25703"/>
      <w:bookmarkStart w:id="3" w:name="_Toc128150777"/>
      <w:bookmarkStart w:id="4" w:name="_Toc132190633"/>
      <w:bookmarkStart w:id="5" w:name="_Toc127820563"/>
      <w:bookmarkStart w:id="6" w:name="_Toc128151026"/>
      <w:bookmarkStart w:id="7" w:name="_Toc30945"/>
      <w:bookmarkStart w:id="8" w:name="_Toc128150133"/>
      <w:bookmarkStart w:id="9" w:name="_Toc189"/>
      <w:bookmarkStart w:id="10" w:name="_Toc128397969"/>
      <w:bookmarkStart w:id="11" w:name="_Toc31595"/>
      <w:bookmarkStart w:id="12" w:name="_Toc5238"/>
      <w:bookmarkStart w:id="13" w:name="_Toc21401"/>
      <w:bookmarkStart w:id="14" w:name="_Toc5320"/>
      <w:r>
        <w:rPr>
          <w:rFonts w:hint="eastAsia" w:ascii="黑体" w:hAnsi="黑体" w:cs="黑体"/>
          <w:b w:val="0"/>
          <w:sz w:val="28"/>
          <w:szCs w:val="28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ascii="黑体" w:hAnsi="黑体" w:cs="黑体"/>
          <w:b w:val="0"/>
          <w:sz w:val="28"/>
          <w:szCs w:val="28"/>
        </w:rPr>
        <w:t>（商务条款均为实质性条款，不接受负偏离）</w:t>
      </w:r>
      <w:bookmarkEnd w:id="11"/>
      <w:bookmarkEnd w:id="12"/>
      <w:bookmarkEnd w:id="13"/>
      <w:bookmarkEnd w:id="14"/>
    </w:p>
    <w:tbl>
      <w:tblPr>
        <w:tblStyle w:val="5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7"/>
        <w:gridCol w:w="1719"/>
        <w:gridCol w:w="4382"/>
        <w:gridCol w:w="137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26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基于项目合同履行形成的知识产权和其他权益，其权属归采购单位所有，法律另有规定的除外</w:t>
            </w:r>
          </w:p>
        </w:tc>
        <w:tc>
          <w:tcPr>
            <w:tcW w:w="8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/>
    <w:p>
      <w:pPr>
        <w:rPr>
          <w:rFonts w:hint="eastAsia" w:hAnsi="宋体"/>
          <w:bCs/>
          <w:sz w:val="28"/>
          <w:szCs w:val="28"/>
          <w:lang w:val="zh-CN"/>
        </w:rPr>
      </w:pPr>
    </w:p>
    <w:p>
      <w:pPr>
        <w:rPr>
          <w:rFonts w:hint="eastAsia"/>
        </w:rPr>
      </w:pPr>
      <w:bookmarkStart w:id="15" w:name="_Toc130887500"/>
      <w:bookmarkStart w:id="16" w:name="_Toc128150134"/>
      <w:bookmarkStart w:id="17" w:name="_Toc13097"/>
      <w:bookmarkStart w:id="18" w:name="_Toc128150778"/>
      <w:bookmarkStart w:id="19" w:name="_Toc1694"/>
      <w:bookmarkStart w:id="20" w:name="_Toc132190634"/>
      <w:bookmarkStart w:id="21" w:name="_Toc127820564"/>
      <w:bookmarkStart w:id="22" w:name="_Toc128397970"/>
      <w:bookmarkStart w:id="23" w:name="_Toc128151027"/>
      <w:r>
        <w:rPr>
          <w:rFonts w:hint="eastAsia"/>
        </w:rPr>
        <w:br w:type="page"/>
      </w: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24" w:name="_Toc32285"/>
      <w:bookmarkStart w:id="25" w:name="_Toc20762"/>
      <w:r>
        <w:rPr>
          <w:rFonts w:hint="eastAsia" w:ascii="黑体" w:hAnsi="黑体" w:cs="黑体"/>
          <w:b w:val="0"/>
          <w:sz w:val="28"/>
          <w:szCs w:val="28"/>
        </w:rPr>
        <w:t>技术要求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8"/>
        <w:gridCol w:w="836"/>
        <w:gridCol w:w="834"/>
        <w:gridCol w:w="834"/>
        <w:gridCol w:w="832"/>
        <w:gridCol w:w="1671"/>
        <w:gridCol w:w="842"/>
        <w:gridCol w:w="814"/>
        <w:gridCol w:w="99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90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10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2024-JQ06-W3701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高流量无创呼吸湿化治疗仪</w:t>
            </w:r>
          </w:p>
        </w:tc>
        <w:tc>
          <w:tcPr>
            <w:tcW w:w="5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08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30(20台)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适用于有自主呼吸患者，通过提供高流量，精确氧浓度、加温湿化的气体进行有效的呼吸治疗的成人及儿童患者。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流量设置调节范围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≥(2-80)L/min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呼吸正压范围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7"/>
                <w:lang w:val="en-US" w:eastAsia="zh-CN" w:bidi="ar"/>
              </w:rPr>
              <w:t>≥（4-20）cm H</w:t>
            </w:r>
            <w:r>
              <w:rPr>
                <w:rStyle w:val="8"/>
                <w:lang w:val="en-US" w:eastAsia="zh-CN" w:bidi="ar"/>
              </w:rPr>
              <w:t>2</w:t>
            </w:r>
            <w:r>
              <w:rPr>
                <w:rStyle w:val="7"/>
                <w:lang w:val="en-US" w:eastAsia="zh-CN" w:bidi="ar"/>
              </w:rPr>
              <w:t>O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温度设置范围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≥(31-37)℃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水罐性能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加温湿化器的湿化水罐：由水瓶自动加水，可变容积50ml至150ml。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呼吸管路性能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高密度均匀分布螺纹加热丝，加热丝总长度≥700cm，螺旋带温度监控。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氧浓度调节范围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（21-100）%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氧浓度调节精度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≤1%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工作模式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具备高流量模式、低流量模式、CPAP模式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氧源连接方式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可直连集中供氧接口，无需外接空氧混合阀或流量瓶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屏幕显示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尺寸≥4英寸，可同时显示至少包括：温度、氧浓度、流量、治疗时间参数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回顾功能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可回顾历史治疗波形图（至少包含1天、3天、7天）。包括温湿度、氧浓度和流量波形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提醒功能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可预设单次治疗时间，具备自动提醒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独立回路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供气回路和患者回路相互独立，无需对主机内部气路进行消毒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应具备管道报警、氧压报警、堵塞报警、水位报警、温度报警、掉电报警、环境温度过低提示、氧浓度未达预值提示、流量未达预值提示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设备不良事件情况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厂家自报设备近三年不良事件情况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配置需求(单台套）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高流量湿化治疗仪主机1台、台车1台、加温管路≥1套、一次性鼻氧管≥5套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配套试剂耗材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0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具体年用量详见附件</w:t>
            </w:r>
          </w:p>
        </w:tc>
        <w:tc>
          <w:tcPr>
            <w:tcW w:w="4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0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58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▲标识的指标和“无标识”指标负偏离≥7项，投标企业技术分值为0分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注：1.★指标为必须响应指标，任意一项不满足要求即做废标处理；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2.★及▲标识的指标，无法明确的默认由企业提供承诺；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3.经济要求不接受企业负偏离。</w:t>
            </w:r>
          </w:p>
        </w:tc>
      </w:tr>
    </w:tbl>
    <w:p>
      <w:pPr>
        <w:numPr>
          <w:ilvl w:val="0"/>
          <w:numId w:val="0"/>
        </w:numPr>
        <w:rPr>
          <w:rFonts w:hint="eastAsia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lang w:eastAsia="zh-CN"/>
        </w:rPr>
        <w:t>说明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</w:rPr>
        <w:t>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响应承诺为准；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无标识指标正偏离需参照上述要求提供技术支持材料，未提供的正偏离不予认可；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《采购需求表》备注已明确证明材料种类的，以所注内容为准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eastAsia="zh-CN"/>
        </w:rPr>
        <w:t>（或提供更高等级证明材料）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  <w:t>。</w:t>
      </w:r>
    </w:p>
    <w:p>
      <w:pP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</w:rPr>
      </w:pPr>
    </w:p>
    <w:tbl>
      <w:tblPr>
        <w:tblStyle w:val="5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6"/>
        <w:gridCol w:w="1514"/>
        <w:gridCol w:w="702"/>
        <w:gridCol w:w="667"/>
        <w:gridCol w:w="739"/>
        <w:gridCol w:w="862"/>
        <w:gridCol w:w="308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高流量呼吸湿化治疗仪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81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2024-JQ06-W3701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封闭耗材（试剂）描述</w:t>
            </w:r>
          </w:p>
        </w:tc>
        <w:tc>
          <w:tcPr>
            <w:tcW w:w="4539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8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常压高流量吸氧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7.5</w:t>
            </w:r>
          </w:p>
        </w:tc>
        <w:tc>
          <w:tcPr>
            <w:tcW w:w="18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材（开展项目）“常压高流量吸氧”指加热呼吸管路套装和鼻塞导管两种耗材。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一次性使用鼻氧管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8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4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加温呼吸管路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</w:t>
            </w:r>
          </w:p>
        </w:tc>
        <w:tc>
          <w:tcPr>
            <w:tcW w:w="4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5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8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注：1.预估2年用量为开展业务所需耗材（开展项目）的测算量，与设备购置数量无关；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2.计量单位为最小使用单位。</w:t>
            </w:r>
          </w:p>
        </w:tc>
      </w:tr>
    </w:tbl>
    <w:p>
      <w:pPr>
        <w:rPr>
          <w:rFonts w:hint="eastAsia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说明：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报价供应商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需对《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封闭耗材（试剂）用量测算表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》中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耗材（开展项目）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eastAsia="zh-CN"/>
        </w:rPr>
        <w:t>逐一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，需将各开展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项目所需全部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耗材（试剂）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或各封闭耗材（试剂）的不同型号全部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列明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报价，未列明的视为引进入院时免费提供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2.封闭耗材（试剂）需满足《封闭耗材（试剂）用量测算表》中“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封闭耗材（试剂）描述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”要求，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并提供相关证明材料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，不能提供或不符合要求的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视为无效报价；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非封闭耗材（试剂）（含证明材料不予认定的情况）所报价格不予计算，该项耗材（试剂）按缺项处理，如影响设备使用或导致项目无法开展的，视为无效报价；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.所投耗材按医疗器械管理的，须提供医疗器械注册证或备案凭证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，不按医疗器械管理的，需提供相关证明材料，不得使用已经停产产品，不符合以上要求的视为无效报价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.各项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总价不得超出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对应的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最高限价，超出则视为耗材报价无效，价格评审中耗材部分得0分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为医院目录内产品的，也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须一同报价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；中标后需对目录内价格按照“就低原则”同步调价，调价范围包含解放军总医院各医学中心及医疗区；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封闭耗材（试剂）报价表需按要求加盖供应商及生产企业公章，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如出现多个生产厂家的，需全部生产厂家逐一对其产品盖章确认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封闭耗材（试剂）报价表及其他要求详见“第八章 文件组成及专用附件格式”。</w:t>
      </w:r>
      <w:bookmarkStart w:id="26" w:name="_GoBack"/>
      <w:bookmarkEnd w:id="2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B2000A"/>
    <w:multiLevelType w:val="singleLevel"/>
    <w:tmpl w:val="8DB2000A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3F248A"/>
    <w:rsid w:val="33EE6901"/>
    <w:rsid w:val="58C8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Body Text"/>
    <w:basedOn w:val="1"/>
    <w:next w:val="1"/>
    <w:qFormat/>
    <w:uiPriority w:val="99"/>
    <w:pPr>
      <w:spacing w:after="120"/>
    </w:pPr>
  </w:style>
  <w:style w:type="character" w:customStyle="1" w:styleId="7">
    <w:name w:val="font71"/>
    <w:basedOn w:val="6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8">
    <w:name w:val="font51"/>
    <w:basedOn w:val="6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  <w:vertAlign w:val="subscri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2025-03-03T07:56:00Z</dcterms:created>
  <dc:creator>admin</dc:creator>
  <cp:lastModifiedBy>admin</cp:lastModifiedBy>
  <dcterms:modified xsi:type="dcterms:W3CDTF">2025-04-23T02:25:30Z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