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0" w:name="_Toc189"/>
      <w:bookmarkStart w:id="1" w:name="_Toc132190633"/>
      <w:bookmarkStart w:id="2" w:name="_Toc128150133"/>
      <w:bookmarkStart w:id="3" w:name="_Toc25703"/>
      <w:bookmarkStart w:id="4" w:name="_Toc128397969"/>
      <w:bookmarkStart w:id="5" w:name="_Toc30945"/>
      <w:bookmarkStart w:id="6" w:name="_Toc127820563"/>
      <w:bookmarkStart w:id="7" w:name="_Toc128150777"/>
      <w:bookmarkStart w:id="8" w:name="_Toc128151026"/>
      <w:bookmarkStart w:id="9" w:name="_Toc130887499"/>
      <w:bookmarkStart w:id="10" w:name="_Toc22387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 w:hAnsi="宋体"/>
          <w:bCs/>
          <w:color w:val="auto"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商务要求</w:t>
      </w: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  <w:lang w:val="en-US" w:eastAsia="zh-CN"/>
        </w:rPr>
        <w:t>均为实质性响应条款，不允许负偏离</w:t>
      </w:r>
      <w:r>
        <w:rPr>
          <w:rFonts w:hint="eastAsia" w:hAnsi="宋体"/>
          <w:bCs/>
          <w:color w:val="auto"/>
          <w:sz w:val="28"/>
          <w:szCs w:val="28"/>
          <w:highlight w:val="none"/>
          <w:lang w:val="en-US" w:eastAsia="zh-CN"/>
        </w:rPr>
        <w:t>)</w:t>
      </w:r>
    </w:p>
    <w:tbl>
      <w:tblPr>
        <w:tblStyle w:val="4"/>
        <w:tblW w:w="87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2"/>
        <w:gridCol w:w="1510"/>
        <w:gridCol w:w="5266"/>
        <w:gridCol w:w="98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验收合格后满3年无质量问题支付剩余5%（不超过5%）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5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保修年限≥3年，全年故障停机时间不高于5%（按365日/年计算)。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5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5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提供使用培训和工程师培训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5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维修响应时间≤0.5小时，维修到达现场时间≤24小时。</w:t>
            </w: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firstLine="560"/>
        <w:rPr>
          <w:rFonts w:hint="eastAsia" w:eastAsia="宋体"/>
          <w:bCs/>
          <w:sz w:val="28"/>
          <w:szCs w:val="28"/>
          <w:highlight w:val="none"/>
          <w:lang w:eastAsia="zh-CN"/>
        </w:rPr>
      </w:pPr>
      <w:bookmarkStart w:id="18" w:name="_GoBack"/>
      <w:bookmarkEnd w:id="18"/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eastAsia="zh-CN"/>
        </w:rPr>
        <w:t>二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sz w:val="28"/>
          <w:szCs w:val="28"/>
          <w:highlight w:val="none"/>
        </w:rPr>
        <w:t>知识产权</w:t>
      </w:r>
      <w:r>
        <w:rPr>
          <w:rFonts w:hAnsi="宋体"/>
          <w:bCs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报价供应商应当保证采购单位在使用该物资或其任何一部分时，不受第三方侵权指控。同时，报价供应商不得向第三方泄露采购机构提供的技术文件等</w:t>
      </w:r>
      <w:r>
        <w:rPr>
          <w:rFonts w:hint="eastAsia" w:ascii="宋体" w:hAnsi="宋体"/>
          <w:bCs/>
          <w:sz w:val="28"/>
          <w:szCs w:val="28"/>
          <w:highlight w:val="none"/>
        </w:rPr>
        <w:t>材料</w:t>
      </w:r>
      <w:r>
        <w:rPr>
          <w:rFonts w:hint="eastAsia"/>
          <w:bCs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560" w:lineRule="exact"/>
        <w:ind w:firstLine="560"/>
        <w:rPr>
          <w:rFonts w:hint="eastAsia"/>
          <w:bCs/>
          <w:sz w:val="28"/>
          <w:szCs w:val="28"/>
          <w:highlight w:val="none"/>
          <w:lang w:val="zh-CN"/>
        </w:rPr>
      </w:pPr>
      <w:r>
        <w:rPr>
          <w:rFonts w:hint="eastAsia"/>
          <w:bCs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numPr>
          <w:ilvl w:val="0"/>
          <w:numId w:val="1"/>
        </w:numPr>
        <w:spacing w:line="560" w:lineRule="exact"/>
        <w:ind w:firstLine="560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物资编目编码、打码贴签要求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8"/>
          <w:szCs w:val="28"/>
          <w:highlight w:val="none"/>
          <w:lang w:val="en-US" w:eastAsia="zh-CN" w:bidi="ar-SA"/>
        </w:rPr>
        <w:t>本项目对物资的编目编码、打码贴签要求，报价供应商应当予以明确响应，相关费用包含在报价中</w:t>
      </w:r>
      <w:r>
        <w:rPr>
          <w:rFonts w:hint="eastAsia"/>
          <w:bCs/>
          <w:sz w:val="28"/>
          <w:szCs w:val="28"/>
          <w:highlight w:val="none"/>
          <w:lang w:val="en-US" w:eastAsia="zh-CN"/>
        </w:rPr>
        <w:t>。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2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1" w:name="_Toc128397970"/>
      <w:bookmarkStart w:id="12" w:name="_Toc128150134"/>
      <w:bookmarkStart w:id="13" w:name="_Toc132190634"/>
      <w:bookmarkStart w:id="14" w:name="_Toc128150778"/>
      <w:bookmarkStart w:id="15" w:name="_Toc130887500"/>
      <w:bookmarkStart w:id="16" w:name="_Toc127820564"/>
      <w:bookmarkStart w:id="17" w:name="_Toc128151027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4"/>
        <w:tblW w:w="94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1325"/>
        <w:gridCol w:w="863"/>
        <w:gridCol w:w="3283"/>
        <w:gridCol w:w="1341"/>
        <w:gridCol w:w="863"/>
        <w:gridCol w:w="86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30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项目名称：根管治疗机</w:t>
            </w:r>
          </w:p>
        </w:tc>
        <w:tc>
          <w:tcPr>
            <w:tcW w:w="3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项目编号：2024-JQ06-W1378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采购数量：32台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86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2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624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6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6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9400" w:type="dxa"/>
            <w:gridSpan w:val="7"/>
            <w:tcBorders>
              <w:top w:val="single" w:color="auto" w:sz="4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根管扩大治疗及根管长度测量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2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具备CFDA认证,CE或FDA认证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、认证书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根尖报警点可调范围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2-APEX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测量时无需校对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根管锉接近根尖时报警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马达往复旋转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机器搭载存储器数量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≥5个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根管马达和根管测量仪联动功能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可以显示根管锉在根管内的位置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进入根管后自动开始功能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离开根管后自动停止功能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根管锉到达根尖马达动作方式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≥3种，至少包含1.停止，马达停止转速；2.反转，马达反转；3.马达会先反转半圈到一圈，然后停止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产品彩页或说明书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手机头内置电池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弯机头材质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外部树脂，内部为不锈钢材质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马达和测量仪联动时，无需绝缘橡胶套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根管治疗机32台，每台包含：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 、测试线1条 、根管针支架3个、口角挂钩3个、根管治疗手机1支、充电器1套、座充1个、使用说明书1套。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atLeast"/>
        </w:trPr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6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按照投标文件、采购合同、质量标准等，组织对医疗设备进行质量验收，出具验收报告。验收过程中对于核心参数存疑需检测的，可委托地方具有相应检测能力的机构提供技术支持，费用由投标方承担。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940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项，投标企业技术分值为0分；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★指标为必须响应指标，任意一项不满足要求即做废标处理;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/>
                <w:color w:val="auto"/>
                <w:lang w:val="en-US" w:eastAsia="zh-CN"/>
              </w:rPr>
              <w:t>★和▲标识的指标均需投标企业提供证明材料、此表未明确要求证明材料类型的投标企业可提供有效的证明材料。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B021A7"/>
    <w:multiLevelType w:val="singleLevel"/>
    <w:tmpl w:val="E0B021A7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C82488"/>
    <w:rsid w:val="2749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2024-11-05T07:12:00Z</dcterms:created>
  <dc:creator>admin</dc:creator>
  <cp:lastModifiedBy>admin</cp:lastModifiedBy>
  <dcterms:modified xsi:type="dcterms:W3CDTF">2025-04-27T09:32:51Z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