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9" w:type="dxa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17"/>
        <w:gridCol w:w="898"/>
        <w:gridCol w:w="1090"/>
        <w:gridCol w:w="1162"/>
        <w:gridCol w:w="2775"/>
        <w:gridCol w:w="1323"/>
        <w:gridCol w:w="1594"/>
      </w:tblGrid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1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样本管理信息系统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项目编号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2025-JQ06-F3006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预算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25万元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基于临床实验室微生物学国标与行标要求，用于检验科微生物标本从接收到报告全流程智能化管理，数据查询和统计分析，可与院内现有系统对接。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智能样本登记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，智能拒收及让步接收规则，</w:t>
            </w:r>
            <w:r>
              <w:rPr>
                <w:rFonts w:hint="eastAsia" w:ascii="黑体" w:hAnsi="宋体" w:eastAsia="黑体" w:cs="黑体"/>
                <w:sz w:val="20"/>
              </w:rPr>
              <w:t>留档样本不合规记录。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智能匹配分离培养平皿种类，打印培养子条码、默认培养阴性结果。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可实现药敏加做、追加药敏计价收费等功能。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可进行血培养污染菌推断、报告结果自检、报告单药敏分级显示、结果互认。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可进行系统权限设置，用户权限设置，申请项与平皿、样本类型、阴性默认结果关系设置； 样本号段设置、药敏折点、抗生素分组、分类、分级管理设置等。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</w:t>
            </w:r>
            <w:r>
              <w:rPr>
                <w:rFonts w:ascii="黑体" w:hAnsi="宋体" w:eastAsia="黑体" w:cs="黑体"/>
                <w:sz w:val="20"/>
              </w:rPr>
              <w:t>WHONET</w:t>
            </w:r>
            <w:r>
              <w:rPr>
                <w:rFonts w:hint="eastAsia" w:ascii="黑体" w:hAnsi="宋体" w:eastAsia="黑体" w:cs="黑体"/>
                <w:sz w:val="20"/>
              </w:rPr>
              <w:t>数据</w:t>
            </w:r>
            <w:r>
              <w:rPr>
                <w:rFonts w:ascii="黑体" w:hAnsi="宋体" w:eastAsia="黑体" w:cs="黑体"/>
                <w:sz w:val="20"/>
              </w:rPr>
              <w:t>导出</w:t>
            </w:r>
            <w:r>
              <w:rPr>
                <w:rFonts w:hint="eastAsia" w:ascii="黑体" w:hAnsi="宋体" w:eastAsia="黑体" w:cs="黑体"/>
                <w:sz w:val="20"/>
              </w:rPr>
              <w:t>功能，使用</w:t>
            </w:r>
            <w:r>
              <w:rPr>
                <w:rFonts w:ascii="黑体" w:hAnsi="宋体" w:eastAsia="黑体" w:cs="黑体"/>
                <w:sz w:val="20"/>
              </w:rPr>
              <w:t>WHONET小工具，各维度</w:t>
            </w:r>
            <w:r>
              <w:rPr>
                <w:rFonts w:hint="eastAsia" w:ascii="黑体" w:hAnsi="宋体" w:eastAsia="黑体" w:cs="黑体"/>
                <w:sz w:val="20"/>
              </w:rPr>
              <w:t>匹配</w:t>
            </w:r>
            <w:r>
              <w:rPr>
                <w:rFonts w:ascii="黑体" w:hAnsi="宋体" w:eastAsia="黑体" w:cs="黑体"/>
                <w:sz w:val="20"/>
              </w:rPr>
              <w:t>whonet</w:t>
            </w:r>
            <w:r>
              <w:rPr>
                <w:rFonts w:hint="eastAsia" w:ascii="黑体" w:hAnsi="宋体" w:eastAsia="黑体" w:cs="黑体"/>
                <w:sz w:val="20"/>
              </w:rPr>
              <w:t>编</w:t>
            </w:r>
            <w:r>
              <w:rPr>
                <w:rFonts w:ascii="黑体" w:hAnsi="宋体" w:eastAsia="黑体" w:cs="黑体"/>
                <w:sz w:val="20"/>
              </w:rPr>
              <w:t>码</w:t>
            </w:r>
            <w:r>
              <w:rPr>
                <w:rFonts w:hint="eastAsia" w:ascii="黑体" w:hAnsi="宋体" w:eastAsia="黑体" w:cs="黑体"/>
                <w:sz w:val="20"/>
              </w:rPr>
              <w:t>，可</w:t>
            </w:r>
            <w:r>
              <w:rPr>
                <w:rFonts w:ascii="黑体" w:hAnsi="宋体" w:eastAsia="黑体" w:cs="黑体"/>
                <w:sz w:val="20"/>
              </w:rPr>
              <w:t>在</w:t>
            </w:r>
            <w:r>
              <w:rPr>
                <w:rFonts w:hint="eastAsia" w:ascii="黑体" w:hAnsi="宋体" w:eastAsia="黑体" w:cs="黑体"/>
                <w:sz w:val="20"/>
              </w:rPr>
              <w:t>个人</w:t>
            </w:r>
            <w:r>
              <w:rPr>
                <w:rFonts w:ascii="黑体" w:hAnsi="宋体" w:eastAsia="黑体" w:cs="黑体"/>
                <w:sz w:val="20"/>
              </w:rPr>
              <w:t>电脑上</w:t>
            </w:r>
            <w:r>
              <w:rPr>
                <w:rFonts w:hint="eastAsia" w:ascii="黑体" w:hAnsi="宋体" w:eastAsia="黑体" w:cs="黑体"/>
                <w:sz w:val="20"/>
              </w:rPr>
              <w:t>运行</w:t>
            </w:r>
            <w:r>
              <w:rPr>
                <w:rFonts w:ascii="黑体" w:hAnsi="宋体" w:eastAsia="黑体" w:cs="黑体"/>
                <w:sz w:val="20"/>
              </w:rPr>
              <w:t>导出文件。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具备样本/菌株存储和管理功能，可实现样本/菌株入库，信息查询和统计分析。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可与医院HIS系统做接口，数据结果及备注等附加信息均可准确传输至HIS端。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配置名称1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（服务点位）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不低于50个工作站。（软件终端）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配置名称2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（服务人员）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在京系统日常维护人员1人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sz w:val="20"/>
              </w:rPr>
              <w:t>交付数据库管理员用户密码需交付信息科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11.1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sz w:val="20"/>
              </w:rPr>
              <w:t>交付数据备份机制、数据重建机制需至信息科审核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11.2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按院方要求配合将数据库纳入院方容灾平台、离线备份平台、数据库监控平台、数据资源体系平台；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11.3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系统上线后，交付相关相关数据库表字段的说明性文件至信息科，要求内容必须全覆盖系统界面上所涉及各类数据项，并随系统升级及时更新交付；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11.4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所有存有院方数据的存储介质不予返还；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11.5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数据库运维人员需在信息科报备，签署相关保密协议，并纳入信息科数管统一管理；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11.6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质保期内根据院方要求提供相关国产化适配服务，无需另行收费。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按照投标文件、采购合同进行质量验收，验收前须提交第三方软件测评报告。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（不接受负偏离）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合同签订后6个月内交付，交付地点由甲方指定。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2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软件安装完毕付款30%，验收完成后付款70%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履约保证金、质量保证金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合同签署前企业需缴</w:t>
            </w:r>
            <w:r>
              <w:rPr>
                <w:rFonts w:hAnsi="宋体" w:cs="黑体"/>
                <w:color w:val="auto"/>
                <w:sz w:val="20"/>
                <w:szCs w:val="20"/>
                <w:highlight w:val="none"/>
                <w:lang w:bidi="ar"/>
              </w:rPr>
              <w:t>纳5%履约保证金并于</w:t>
            </w:r>
            <w:r>
              <w:rPr>
                <w:rFonts w:hint="eastAsia" w:hAnsi="宋体" w:cs="黑体"/>
                <w:color w:val="auto"/>
                <w:sz w:val="20"/>
                <w:szCs w:val="20"/>
                <w:highlight w:val="none"/>
                <w:lang w:eastAsia="zh-CN" w:bidi="ar"/>
              </w:rPr>
              <w:t>验收完成</w:t>
            </w:r>
            <w:r>
              <w:rPr>
                <w:rFonts w:hAnsi="宋体" w:cs="黑体"/>
                <w:color w:val="auto"/>
                <w:sz w:val="20"/>
                <w:szCs w:val="20"/>
                <w:highlight w:val="none"/>
                <w:lang w:bidi="ar"/>
              </w:rPr>
              <w:t>后退还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  <w:highlight w:val="none"/>
              </w:rPr>
              <w:t>验收完成后开始起算质保期，</w:t>
            </w:r>
            <w:r>
              <w:rPr>
                <w:rFonts w:hint="eastAsia" w:ascii="黑体" w:hAnsi="宋体" w:eastAsia="黑体" w:cs="黑体"/>
                <w:sz w:val="20"/>
                <w:highlight w:val="none"/>
                <w:lang w:eastAsia="zh-CN"/>
              </w:rPr>
              <w:t>质保期</w:t>
            </w:r>
            <w:r>
              <w:rPr>
                <w:rFonts w:hint="eastAsia" w:ascii="黑体" w:hAnsi="宋体" w:eastAsia="黑体" w:cs="黑体"/>
                <w:sz w:val="20"/>
                <w:highlight w:val="none"/>
              </w:rPr>
              <w:t>3年，全年故障停机时间不高于1%（按365日/年计算)。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原厂授权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或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质保期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内免费提供定期维护保养服务，免费升级和维护软件，免费提供使用培训。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提供不少于1人次、2天的工程师维修培训。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7*24小时电话响应，故障响应时间≤2小时、出现场时间≤4小时、故障解决时间≤24小时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说明：1.加注“★”的指标为关键指标，任意一项不满足要求即做废标处理；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2.加注“★”及“▲”标识的指标均需投标企业提供证明材料，证明材料为“企业承诺”的，在技术商务指标参数响应偏离表中的响应可视为承诺；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3.经济要求不接受负偏离。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803C3"/>
    <w:rsid w:val="4388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2025-04-29T09:07:00Z</dcterms:created>
  <dc:creator>administrator</dc:creator>
  <cp:lastModifiedBy>administrator</cp:lastModifiedBy>
  <dcterms:modified xsi:type="dcterms:W3CDTF">2025-04-29T09:13:24Z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