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30657527"/>
      <w:bookmarkStart w:id="1" w:name="_Toc128151016"/>
      <w:bookmarkStart w:id="2" w:name="_Toc130657981"/>
      <w:bookmarkStart w:id="3" w:name="_Toc128150123"/>
      <w:bookmarkStart w:id="4" w:name="_Toc130887489"/>
      <w:bookmarkStart w:id="5" w:name="_Toc127820554"/>
      <w:bookmarkStart w:id="6" w:name="_Toc130886988"/>
      <w:bookmarkStart w:id="7" w:name="_Toc128397959"/>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全自动液基薄层细胞制片</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2024-JQ06-W3621</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bookmarkStart w:id="233" w:name="_GoBack"/>
      <w:bookmarkEnd w:id="233"/>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1</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6</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128154359"/>
      <w:bookmarkStart w:id="17" w:name="_Toc130887998"/>
      <w:bookmarkStart w:id="18" w:name="_Toc130661169"/>
      <w:bookmarkStart w:id="19" w:name="_Toc128470286"/>
      <w:bookmarkStart w:id="20" w:name="_Toc132191250"/>
      <w:bookmarkStart w:id="21" w:name="_Toc27201"/>
      <w:bookmarkStart w:id="22" w:name="_Toc132186966"/>
      <w:bookmarkStart w:id="23" w:name="_Toc30198"/>
      <w:bookmarkStart w:id="24" w:name="_Toc112768490"/>
      <w:bookmarkStart w:id="25" w:name="_Toc20311"/>
      <w:bookmarkStart w:id="26" w:name="_Toc112317780"/>
      <w:bookmarkStart w:id="27" w:name="_Toc15622"/>
      <w:bookmarkStart w:id="28" w:name="_Toc32290"/>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全自动液基薄层细胞制片</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49.8</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3</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2</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2</w:t>
            </w:r>
            <w:r>
              <w:rPr>
                <w:rFonts w:hint="eastAsia" w:ascii="宋体" w:hAnsi="宋体"/>
                <w:b/>
                <w:bCs/>
                <w:sz w:val="24"/>
                <w:highlight w:val="none"/>
                <w:lang w:val="zh-CN"/>
              </w:rPr>
              <w:t>副共</w:t>
            </w:r>
            <w:r>
              <w:rPr>
                <w:rFonts w:hint="eastAsia" w:ascii="宋体" w:hAnsi="宋体"/>
                <w:b/>
                <w:bCs/>
                <w:sz w:val="24"/>
                <w:highlight w:val="none"/>
                <w:lang w:val="en-US" w:eastAsia="zh-CN"/>
              </w:rPr>
              <w:t>3</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9960（大写）玖仟玖佰陆拾</w:t>
            </w:r>
            <w:r>
              <w:rPr>
                <w:rFonts w:hint="eastAsia" w:ascii="宋体" w:hAnsi="宋体" w:cs="宋体"/>
                <w:sz w:val="24"/>
                <w:szCs w:val="24"/>
                <w:u w:val="none"/>
                <w:lang w:val="en-US" w:eastAsia="zh-CN"/>
              </w:rPr>
              <w:t>元整缴纳截止时间：本项目报价截止时间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并在谈判当日提供1份保函原件，报价时与手持文件（法人资格证明书、法定代表人授权书、授权代表近1年内任意1个月缴纳社保的证明材料）一并单独提交。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23</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23</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23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2186967"/>
      <w:bookmarkStart w:id="34" w:name="_Toc132191251"/>
      <w:bookmarkStart w:id="35" w:name="_Toc130661170"/>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全自动液基薄层细胞制片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21</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2186968"/>
      <w:bookmarkStart w:id="38" w:name="_Toc130888000"/>
      <w:bookmarkStart w:id="39" w:name="_Toc128470288"/>
      <w:bookmarkStart w:id="40" w:name="_Toc128154361"/>
      <w:bookmarkStart w:id="41" w:name="_Toc130661171"/>
      <w:bookmarkStart w:id="42" w:name="_Toc16152"/>
      <w:bookmarkStart w:id="43" w:name="_Toc132191252"/>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default"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全自动液基薄层细胞制片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w:t>
      </w:r>
      <w:r>
        <w:rPr>
          <w:rFonts w:hint="eastAsia"/>
          <w:bCs/>
          <w:sz w:val="28"/>
          <w:szCs w:val="28"/>
          <w:highlight w:val="none"/>
          <w:u w:val="single"/>
          <w:lang w:val="en-US" w:eastAsia="zh-CN"/>
        </w:rPr>
        <w:t>21</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2186969"/>
      <w:bookmarkStart w:id="45" w:name="_Toc132191253"/>
      <w:bookmarkStart w:id="46" w:name="_Toc130661172"/>
      <w:bookmarkStart w:id="47" w:name="_Toc128470289"/>
      <w:bookmarkStart w:id="48" w:name="_Toc130888001"/>
      <w:bookmarkStart w:id="49" w:name="_Toc128154362"/>
      <w:bookmarkStart w:id="50" w:name="_Toc24455"/>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470290"/>
      <w:bookmarkStart w:id="53" w:name="_Toc128154363"/>
      <w:bookmarkStart w:id="54" w:name="_Toc130661173"/>
      <w:bookmarkStart w:id="55" w:name="_Toc130888002"/>
      <w:bookmarkStart w:id="56" w:name="_Toc132191254"/>
      <w:bookmarkStart w:id="57" w:name="_Toc132186970"/>
      <w:r>
        <w:rPr>
          <w:rFonts w:hint="eastAsia" w:ascii="黑体" w:hAnsi="黑体"/>
          <w:b w:val="0"/>
          <w:sz w:val="28"/>
          <w:szCs w:val="28"/>
          <w:highlight w:val="none"/>
        </w:rPr>
        <w:br w:type="page"/>
      </w:r>
    </w:p>
    <w:bookmarkEnd w:id="51"/>
    <w:bookmarkEnd w:id="52"/>
    <w:bookmarkEnd w:id="53"/>
    <w:bookmarkEnd w:id="54"/>
    <w:bookmarkEnd w:id="55"/>
    <w:bookmarkEnd w:id="56"/>
    <w:bookmarkEnd w:id="57"/>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1.提供合同复印件和发票复印件并加盖投标人公章；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5708"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b/>
                <w:sz w:val="22"/>
                <w:szCs w:val="22"/>
                <w:highlight w:val="none"/>
                <w:lang w:val="zh-CN"/>
              </w:rPr>
            </w:pPr>
          </w:p>
        </w:tc>
        <w:tc>
          <w:tcPr>
            <w:tcW w:w="2837" w:type="dxa"/>
            <w:vMerge w:val="restart"/>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711"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5</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kern w:val="2"/>
                <w:sz w:val="22"/>
                <w:szCs w:val="22"/>
                <w:highlight w:val="none"/>
                <w:lang w:val="en-US" w:eastAsia="zh-CN" w:bidi="ar-SA"/>
              </w:rPr>
              <w:t>3技术指标1：每批可批量处理（1-160）份妇科与非妇科样本</w:t>
            </w:r>
          </w:p>
        </w:tc>
        <w:tc>
          <w:tcPr>
            <w:tcW w:w="2837" w:type="dxa"/>
            <w:vMerge w:val="continue"/>
            <w:tcBorders>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593" w:hRule="atLeast"/>
          <w:jc w:val="center"/>
        </w:trPr>
        <w:tc>
          <w:tcPr>
            <w:tcW w:w="739" w:type="dxa"/>
            <w:vMerge w:val="continue"/>
            <w:tcBorders>
              <w:bottom w:val="single" w:color="auto" w:sz="4" w:space="0"/>
              <w:right w:val="single" w:color="auto" w:sz="4" w:space="0"/>
            </w:tcBorders>
            <w:vAlign w:val="center"/>
          </w:tcPr>
          <w:p>
            <w:pPr>
              <w:spacing w:line="300" w:lineRule="exact"/>
              <w:jc w:val="center"/>
            </w:pPr>
          </w:p>
        </w:tc>
        <w:tc>
          <w:tcPr>
            <w:tcW w:w="846" w:type="dxa"/>
            <w:vMerge w:val="continue"/>
            <w:tcBorders>
              <w:bottom w:val="single" w:color="auto" w:sz="4" w:space="0"/>
              <w:right w:val="single" w:color="auto" w:sz="4" w:space="0"/>
            </w:tcBorders>
            <w:vAlign w:val="center"/>
          </w:tcPr>
          <w:p>
            <w:pPr>
              <w:spacing w:line="3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lang w:val="en-US" w:eastAsia="zh-CN"/>
              </w:rPr>
              <w:t>（35分）</w:t>
            </w:r>
          </w:p>
        </w:tc>
        <w:tc>
          <w:tcPr>
            <w:tcW w:w="4874" w:type="dxa"/>
            <w:tcBorders>
              <w:top w:val="single" w:color="auto" w:sz="4" w:space="0"/>
              <w:left w:val="single" w:color="auto" w:sz="4" w:space="0"/>
              <w:right w:val="single" w:color="auto" w:sz="4" w:space="0"/>
            </w:tcBorders>
            <w:vAlign w:val="center"/>
          </w:tcPr>
          <w:p>
            <w:pPr>
              <w:pStyle w:val="49"/>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1.技术要求全部满足得35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49"/>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rPr>
                <w:rFonts w:hint="eastAsia" w:asciiTheme="minorEastAsia" w:hAnsiTheme="minorEastAsia" w:eastAsiaTheme="minorEastAsia" w:cstheme="minorEastAsia"/>
                <w:sz w:val="22"/>
                <w:szCs w:val="22"/>
                <w:highlight w:val="none"/>
                <w:lang w:val="en-US" w:eastAsia="zh-CN"/>
              </w:rPr>
            </w:pPr>
          </w:p>
        </w:tc>
        <w:tc>
          <w:tcPr>
            <w:tcW w:w="2837" w:type="dxa"/>
            <w:vMerge w:val="continue"/>
            <w:tcBorders>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bottom w:val="single" w:color="auto" w:sz="4" w:space="0"/>
              <w:right w:val="single" w:color="auto" w:sz="4" w:space="0"/>
            </w:tcBorders>
            <w:vAlign w:val="center"/>
          </w:tcPr>
          <w:p>
            <w:pPr>
              <w:spacing w:line="300" w:lineRule="exact"/>
              <w:jc w:val="center"/>
            </w:pPr>
          </w:p>
        </w:tc>
        <w:tc>
          <w:tcPr>
            <w:tcW w:w="846" w:type="dxa"/>
            <w:vMerge w:val="continue"/>
            <w:tcBorders>
              <w:bottom w:val="single" w:color="auto" w:sz="4" w:space="0"/>
              <w:right w:val="single" w:color="auto" w:sz="4" w:space="0"/>
            </w:tcBorders>
            <w:vAlign w:val="center"/>
          </w:tcPr>
          <w:p>
            <w:pPr>
              <w:spacing w:line="300" w:lineRule="exact"/>
              <w:jc w:val="center"/>
            </w:pPr>
          </w:p>
        </w:tc>
        <w:tc>
          <w:tcPr>
            <w:tcW w:w="5708" w:type="dxa"/>
            <w:gridSpan w:val="2"/>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jc w:val="left"/>
              <w:rPr>
                <w:rFonts w:hint="eastAsia" w:ascii="宋体" w:hAnsi="宋体" w:cs="宋体"/>
                <w:sz w:val="20"/>
                <w:szCs w:val="20"/>
                <w:highlight w:val="none"/>
                <w:lang w:val="en-US"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3</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4</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bottom w:val="single" w:color="auto" w:sz="4" w:space="0"/>
              <w:right w:val="single" w:color="auto" w:sz="4" w:space="0"/>
            </w:tcBorders>
            <w:vAlign w:val="center"/>
          </w:tcPr>
          <w:p>
            <w:pPr>
              <w:spacing w:line="300" w:lineRule="exact"/>
              <w:jc w:val="center"/>
              <w:rPr>
                <w:rFonts w:hint="eastAsia" w:ascii="宋体" w:hAnsi="宋体" w:cs="宋体"/>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所投产品是否产生过不良事件，投标人须如实填写，并须国家药品监督管理局官网截图同时生产厂家承诺并加盖生产厂家及投标人公章，有1项扣3分。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2191255"/>
      <w:bookmarkStart w:id="59" w:name="_Toc130888003"/>
      <w:bookmarkStart w:id="60" w:name="_Toc132186971"/>
      <w:bookmarkStart w:id="61" w:name="_Toc128154364"/>
      <w:bookmarkStart w:id="62" w:name="_Toc6896"/>
      <w:bookmarkStart w:id="63" w:name="_Toc128470291"/>
      <w:bookmarkStart w:id="64" w:name="_Toc130661174"/>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2186972"/>
      <w:bookmarkStart w:id="66" w:name="_Toc128470292"/>
      <w:bookmarkStart w:id="67" w:name="_Toc28382"/>
      <w:bookmarkStart w:id="68" w:name="_Toc130888004"/>
      <w:bookmarkStart w:id="69" w:name="_Toc132191256"/>
      <w:bookmarkStart w:id="70" w:name="_Toc130661175"/>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全自动液基薄层细胞制片</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w:t>
      </w:r>
      <w:r>
        <w:rPr>
          <w:rFonts w:hint="eastAsia" w:ascii="黑体" w:hAnsi="黑体" w:eastAsia="黑体" w:cs="黑体"/>
          <w:bCs/>
          <w:color w:val="auto"/>
          <w:sz w:val="28"/>
          <w:szCs w:val="28"/>
          <w:highlight w:val="none"/>
          <w:u w:val="single"/>
          <w:lang w:val="en-US" w:eastAsia="zh-CN"/>
        </w:rPr>
        <w:t>21</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全自动液基薄层细胞制片</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49.8</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49.8</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23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23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5</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23</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12768491"/>
      <w:bookmarkStart w:id="74" w:name="_Toc21632"/>
      <w:bookmarkStart w:id="75" w:name="_Toc30564"/>
      <w:bookmarkStart w:id="76" w:name="_Toc130661176"/>
      <w:bookmarkStart w:id="77" w:name="_Toc132191257"/>
      <w:bookmarkStart w:id="78" w:name="_Toc132186973"/>
      <w:bookmarkStart w:id="79" w:name="_Toc9692"/>
      <w:bookmarkStart w:id="80" w:name="_Toc28545"/>
      <w:bookmarkStart w:id="81" w:name="_Toc128154366"/>
      <w:bookmarkStart w:id="82" w:name="_Toc32050"/>
      <w:bookmarkStart w:id="83" w:name="_Toc112317781"/>
      <w:bookmarkStart w:id="84" w:name="_Toc130888005"/>
      <w:bookmarkStart w:id="85" w:name="_Toc128470293"/>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28150133"/>
      <w:bookmarkStart w:id="87" w:name="_Toc128151026"/>
      <w:bookmarkStart w:id="88" w:name="_Toc128397969"/>
      <w:bookmarkStart w:id="89" w:name="_Toc25703"/>
      <w:bookmarkStart w:id="90" w:name="_Toc132190633"/>
      <w:bookmarkStart w:id="91" w:name="_Toc189"/>
      <w:bookmarkStart w:id="92" w:name="_Toc30945"/>
      <w:bookmarkStart w:id="93" w:name="_Toc128150777"/>
      <w:bookmarkStart w:id="94" w:name="_Toc130887499"/>
      <w:bookmarkStart w:id="95" w:name="_Toc127820563"/>
      <w:bookmarkStart w:id="96" w:name="_Toc22387"/>
      <w:bookmarkStart w:id="97" w:name="_Toc128154368"/>
      <w:bookmarkStart w:id="98" w:name="_Toc132191259"/>
      <w:bookmarkStart w:id="99" w:name="_Toc128470295"/>
      <w:bookmarkStart w:id="100" w:name="_Toc130888007"/>
      <w:bookmarkStart w:id="101" w:name="_Toc132186975"/>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tbl>
      <w:tblPr>
        <w:tblStyle w:val="41"/>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无</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提供不少于2人次、3天的工程师维修培训。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维修响应时间≤3小时，维修到达现场时间≤0.5个工作日。</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★11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bookmarkEnd w:id="97"/>
    <w:bookmarkEnd w:id="98"/>
    <w:bookmarkEnd w:id="99"/>
    <w:bookmarkEnd w:id="100"/>
    <w:bookmarkEnd w:id="101"/>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16"/>
        <w:gridCol w:w="1236"/>
        <w:gridCol w:w="566"/>
        <w:gridCol w:w="109"/>
        <w:gridCol w:w="2790"/>
        <w:gridCol w:w="1331"/>
        <w:gridCol w:w="943"/>
        <w:gridCol w:w="137"/>
        <w:gridCol w:w="655"/>
        <w:gridCol w:w="58"/>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71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12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2024-JQ06-W3621</w:t>
            </w:r>
          </w:p>
        </w:tc>
        <w:tc>
          <w:tcPr>
            <w:tcW w:w="346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33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default" w:ascii="黑体" w:hAnsi="宋体" w:eastAsia="黑体" w:cs="黑体"/>
                <w:i w:val="0"/>
                <w:color w:val="000000"/>
                <w:sz w:val="20"/>
                <w:szCs w:val="20"/>
                <w:u w:val="none"/>
                <w:lang w:val="en-US"/>
              </w:rPr>
              <w:t>全自动液基薄层细胞制片</w:t>
            </w:r>
          </w:p>
        </w:tc>
        <w:tc>
          <w:tcPr>
            <w:tcW w:w="108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71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2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346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33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56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5310" w:type="dxa"/>
            <w:gridSpan w:val="5"/>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可全自动制备液基细胞学薄层涂片，用于宫颈癌等各项细胞学筛查</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95"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具备FDA认证和CE认证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每批可批量处理（1-160）份妇科与非妇科样本</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highlight w:val="yellow"/>
                <w:u w:val="none"/>
                <w:lang w:val="en-US" w:eastAsia="zh-CN" w:bidi="ar"/>
              </w:rPr>
              <w:t>是</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过滤膜式制片方法</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技术指标3</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全自动完成制片，无需拧开保存液瓶盖可直接上机进行制片。</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技术指标4</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每份标本使用独立的过滤膜、玻片、没有共用的器材，标本之间没有交叉污染的可能</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技术指标5</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开机自检，显示屏实时显示制片进度，设置各项使用参数、查看操作状态、记录使用历史、查看错误报告等</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技术指标6</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独立悬挂运动臂来实现加样、转移、清洗等动作，整个流程全自动完成</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9</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技术指标7</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设备具备自动监管程序，通过摄像头与条码检查程序检查保存液瓶条形码与玻片标签是否匹配以确保正确对应。</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技术指标8</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标本细胞均匀、薄层、背景清晰。转移至玻片的细胞数量≥5000满足TBS要求。 </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技术指标9</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支持同一标本制出多种玻片的功能，最多可重复制备≥10张玻片。</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技术指标10</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themeColor="text1"/>
                <w:kern w:val="0"/>
                <w:sz w:val="20"/>
                <w:szCs w:val="20"/>
                <w:u w:val="none"/>
                <w:lang w:val="en-US" w:eastAsia="zh-CN" w:bidi="ar"/>
                <w14:textFill>
                  <w14:solidFill>
                    <w14:schemeClr w14:val="tx1"/>
                  </w14:solidFill>
                </w14:textFill>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可批量制片妇科和非妇科多种样本类型。制片过程完全无需人工值守，实现设备自动化</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技术指标11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支持急诊模式，可随时暂停当前批次以运行急诊标本</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工作站</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处理器不低于i5，内存≥8GB，硬盘容量≥128GB，独立显卡</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配置要求1</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UPS电源，保证断电后可工作时间≥10分钟</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配置要求2</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薄层细胞检测系统设备主机1台，小型震荡仪1台，彩色快速打印机1台</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18</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验收标准方法</w:t>
            </w:r>
          </w:p>
        </w:tc>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064"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85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22"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7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2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611" w:type="dxa"/>
            <w:gridSpan w:val="9"/>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▲标识的指标负偏离≥3项，“参数指标正负偏离情况”为0分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▲标识的指标和“无标识”指标负偏离≥4项，“参数指标正负偏离情况”为0分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1"/>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w:t>
            </w:r>
            <w:r>
              <w:rPr>
                <w:rFonts w:hint="eastAsia" w:ascii="宋体" w:hAnsi="宋体" w:cs="宋体"/>
                <w:i w:val="0"/>
                <w:color w:val="000000"/>
                <w:kern w:val="0"/>
                <w:sz w:val="18"/>
                <w:szCs w:val="18"/>
                <w:u w:val="none"/>
                <w:lang w:val="en-US" w:eastAsia="zh-CN" w:bidi="ar"/>
              </w:rPr>
              <w:t>、配置清单</w:t>
            </w:r>
            <w:r>
              <w:rPr>
                <w:rFonts w:hint="eastAsia" w:ascii="宋体" w:hAnsi="宋体" w:eastAsia="宋体" w:cs="宋体"/>
                <w:i w:val="0"/>
                <w:color w:val="000000"/>
                <w:kern w:val="0"/>
                <w:sz w:val="18"/>
                <w:szCs w:val="18"/>
                <w:u w:val="none"/>
                <w:lang w:val="en-US" w:eastAsia="zh-CN" w:bidi="ar"/>
              </w:rPr>
              <w:t>等；对参数配置数量、定制产品或待开发软件等功能指标要求以投标人响应承诺为准。号项排名打分或正偏离加分以及一般指标正偏离加分时，参照上述要求提供技术支持材料，未提供的不予认可。</w:t>
            </w:r>
          </w:p>
        </w:tc>
      </w:tr>
    </w:tbl>
    <w:p>
      <w:pPr>
        <w:shd w:val="clear"/>
        <w:tabs>
          <w:tab w:val="left" w:pos="0"/>
        </w:tabs>
        <w:spacing w:line="560" w:lineRule="atLeast"/>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512"/>
        <w:gridCol w:w="1125"/>
        <w:gridCol w:w="1161"/>
        <w:gridCol w:w="696"/>
        <w:gridCol w:w="858"/>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default" w:ascii="黑体" w:hAnsi="宋体" w:eastAsia="黑体" w:cs="黑体"/>
                <w:i w:val="0"/>
                <w:color w:val="000000"/>
                <w:sz w:val="20"/>
                <w:szCs w:val="20"/>
                <w:u w:val="none"/>
                <w:lang w:val="en-US"/>
              </w:rPr>
              <w:t>全自动液基薄层细胞制片</w:t>
            </w:r>
          </w:p>
        </w:tc>
        <w:tc>
          <w:tcPr>
            <w:tcW w:w="11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细胞保存液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20ml</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20ml/人份</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headerReference r:id="rId14" w:type="default"/>
          <w:footerReference r:id="rId15"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2550"/>
      <w:bookmarkStart w:id="103" w:name="_Toc112768494"/>
      <w:bookmarkStart w:id="104" w:name="_Toc17172"/>
      <w:bookmarkStart w:id="105" w:name="_Toc31554"/>
      <w:bookmarkStart w:id="106" w:name="_Toc27977"/>
      <w:bookmarkStart w:id="107" w:name="_Toc7226"/>
      <w:bookmarkStart w:id="108" w:name="_Toc132191260"/>
      <w:bookmarkStart w:id="109" w:name="_Toc130661177"/>
      <w:bookmarkStart w:id="110" w:name="_Toc128470296"/>
      <w:bookmarkStart w:id="111" w:name="_Toc128154369"/>
      <w:bookmarkStart w:id="112" w:name="_Toc132186976"/>
      <w:bookmarkStart w:id="113" w:name="_Toc130888008"/>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28154370"/>
      <w:bookmarkStart w:id="115" w:name="_Toc132186977"/>
      <w:bookmarkStart w:id="116" w:name="_Toc130661178"/>
      <w:bookmarkStart w:id="117" w:name="_Toc130888009"/>
      <w:bookmarkStart w:id="118" w:name="_Toc25715"/>
      <w:bookmarkStart w:id="119" w:name="_Toc128470297"/>
      <w:bookmarkStart w:id="120" w:name="_Toc132191261"/>
      <w:bookmarkStart w:id="121" w:name="_Toc20706"/>
      <w:bookmarkStart w:id="122" w:name="_Toc9762"/>
      <w:bookmarkStart w:id="123" w:name="_Toc15775"/>
      <w:bookmarkStart w:id="124" w:name="_Toc112768495"/>
      <w:bookmarkStart w:id="125" w:name="_Toc20638"/>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112768496"/>
      <w:bookmarkStart w:id="127" w:name="_Toc7592"/>
      <w:bookmarkStart w:id="128" w:name="_Toc128470298"/>
      <w:bookmarkStart w:id="129" w:name="_Toc21913"/>
      <w:bookmarkStart w:id="130" w:name="_Toc22250"/>
      <w:bookmarkStart w:id="131" w:name="_Toc12507"/>
      <w:bookmarkStart w:id="132" w:name="_Toc130661179"/>
      <w:bookmarkStart w:id="133" w:name="_Toc128154371"/>
      <w:bookmarkStart w:id="134" w:name="_Toc3957"/>
      <w:bookmarkStart w:id="135" w:name="_Toc132191262"/>
      <w:bookmarkStart w:id="136" w:name="_Toc130888010"/>
      <w:bookmarkStart w:id="137" w:name="_Toc28273"/>
      <w:bookmarkStart w:id="138" w:name="_Toc7039"/>
      <w:bookmarkStart w:id="139" w:name="_Toc132186978"/>
      <w:bookmarkStart w:id="140" w:name="_Toc9283"/>
      <w:bookmarkStart w:id="141" w:name="_Toc2697"/>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23458"/>
      <w:bookmarkStart w:id="143" w:name="_Toc130888011"/>
      <w:bookmarkStart w:id="144" w:name="_Toc15844"/>
      <w:bookmarkStart w:id="145" w:name="_Toc132191263"/>
      <w:bookmarkStart w:id="146" w:name="_Toc128470299"/>
      <w:bookmarkStart w:id="147" w:name="_Toc130661180"/>
      <w:bookmarkStart w:id="148" w:name="_Toc128154372"/>
      <w:bookmarkStart w:id="149" w:name="_Toc12001"/>
      <w:bookmarkStart w:id="150" w:name="_Toc23995"/>
      <w:bookmarkStart w:id="151" w:name="_Toc112768497"/>
      <w:bookmarkStart w:id="152" w:name="_Toc7115"/>
      <w:bookmarkStart w:id="153" w:name="_Toc132186979"/>
      <w:bookmarkStart w:id="154" w:name="_Toc31837"/>
      <w:bookmarkStart w:id="155" w:name="_Toc19051"/>
      <w:bookmarkStart w:id="156" w:name="_Toc2301"/>
      <w:bookmarkStart w:id="157" w:name="_Toc18208"/>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32191264"/>
      <w:bookmarkStart w:id="159" w:name="_Toc130661181"/>
      <w:bookmarkStart w:id="160" w:name="_Toc132186980"/>
      <w:bookmarkStart w:id="161" w:name="_Toc128154373"/>
      <w:bookmarkStart w:id="162" w:name="_Toc130888012"/>
      <w:bookmarkStart w:id="163" w:name="_Toc121216200"/>
      <w:bookmarkStart w:id="164" w:name="_Toc12847030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2186981"/>
      <w:bookmarkStart w:id="166" w:name="_Toc128470301"/>
      <w:bookmarkStart w:id="167" w:name="_Toc121216201"/>
      <w:bookmarkStart w:id="168" w:name="_Toc130661182"/>
      <w:bookmarkStart w:id="169" w:name="_Toc128154374"/>
      <w:bookmarkStart w:id="170" w:name="_Toc132191265"/>
      <w:bookmarkStart w:id="171" w:name="_Toc130888013"/>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2186982"/>
      <w:bookmarkStart w:id="173" w:name="_Toc128470302"/>
      <w:bookmarkStart w:id="174" w:name="_Toc128154375"/>
      <w:bookmarkStart w:id="175" w:name="_Toc132191266"/>
      <w:bookmarkStart w:id="176" w:name="_Toc130661183"/>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2186983"/>
      <w:bookmarkStart w:id="179" w:name="_Toc128154376"/>
      <w:bookmarkStart w:id="180" w:name="_Toc128470303"/>
      <w:bookmarkStart w:id="181" w:name="_Toc130661184"/>
      <w:bookmarkStart w:id="182" w:name="_Toc132191267"/>
      <w:bookmarkStart w:id="183" w:name="_Toc130888015"/>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26597"/>
      <w:bookmarkStart w:id="185" w:name="_Toc132186984"/>
      <w:bookmarkStart w:id="186" w:name="_Toc996"/>
      <w:bookmarkStart w:id="187" w:name="_Toc132191268"/>
      <w:bookmarkStart w:id="188" w:name="_Toc130888016"/>
      <w:bookmarkStart w:id="189" w:name="_Toc24432"/>
      <w:bookmarkStart w:id="190" w:name="_Toc130661185"/>
      <w:bookmarkStart w:id="191" w:name="_Toc32477"/>
      <w:bookmarkStart w:id="192" w:name="_Toc128154377"/>
      <w:bookmarkStart w:id="193" w:name="_Toc15635"/>
      <w:bookmarkStart w:id="194" w:name="_Toc128470304"/>
      <w:bookmarkStart w:id="195" w:name="_Toc112768500"/>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0300"/>
      <w:bookmarkStart w:id="197" w:name="_Toc130888017"/>
      <w:bookmarkStart w:id="198" w:name="_Toc32494"/>
      <w:bookmarkStart w:id="199" w:name="_Toc14862"/>
      <w:bookmarkStart w:id="200" w:name="_Toc28703"/>
      <w:bookmarkStart w:id="201" w:name="_Toc132186985"/>
      <w:bookmarkStart w:id="202" w:name="_Toc132191269"/>
      <w:bookmarkStart w:id="203" w:name="_Toc130661186"/>
      <w:bookmarkStart w:id="204" w:name="_Toc121216205"/>
      <w:bookmarkStart w:id="205" w:name="_Toc128470305"/>
      <w:bookmarkStart w:id="206" w:name="_Toc128154378"/>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30661187"/>
      <w:bookmarkStart w:id="208" w:name="_Toc132186986"/>
      <w:bookmarkStart w:id="209" w:name="_Toc7334"/>
      <w:bookmarkStart w:id="210" w:name="_Toc8142"/>
      <w:bookmarkStart w:id="211" w:name="_Toc128154379"/>
      <w:bookmarkStart w:id="212" w:name="_Toc128470306"/>
      <w:bookmarkStart w:id="213" w:name="_Toc14394"/>
      <w:bookmarkStart w:id="214" w:name="_Toc132191270"/>
      <w:bookmarkStart w:id="215" w:name="_Toc16995"/>
      <w:bookmarkStart w:id="216" w:name="_Toc121216206"/>
      <w:bookmarkStart w:id="217" w:name="_Toc130888018"/>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28154380"/>
      <w:bookmarkStart w:id="219" w:name="_Toc15882"/>
      <w:bookmarkStart w:id="220" w:name="_Toc21465"/>
      <w:bookmarkStart w:id="221" w:name="_Toc25665"/>
      <w:bookmarkStart w:id="222" w:name="_Toc130888019"/>
      <w:bookmarkStart w:id="223" w:name="_Toc130661188"/>
      <w:bookmarkStart w:id="224" w:name="_Toc23845"/>
      <w:bookmarkStart w:id="225" w:name="_Toc132186987"/>
      <w:bookmarkStart w:id="226" w:name="_Toc128470307"/>
      <w:bookmarkStart w:id="227" w:name="_Toc132191271"/>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6" w:type="default"/>
          <w:footerReference r:id="rId17"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8"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谈判</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ascii="黑体" w:hAnsi="黑体" w:eastAsia="黑体"/>
          <w:color w:val="000000"/>
          <w:sz w:val="28"/>
          <w:highlight w:val="none"/>
        </w:rPr>
      </w:pPr>
    </w:p>
    <w:p>
      <w:pPr>
        <w:rPr>
          <w:rFonts w:ascii="黑体" w:hAnsi="黑体" w:eastAsia="黑体"/>
          <w:color w:val="000000"/>
          <w:sz w:val="28"/>
          <w:highlight w:val="none"/>
        </w:rPr>
      </w:pPr>
    </w:p>
    <w:p>
      <w:pPr>
        <w:rPr>
          <w:rFonts w:ascii="黑体" w:hAnsi="黑体" w:eastAsia="黑体"/>
          <w:color w:val="000000"/>
          <w:sz w:val="28"/>
          <w:highlight w:val="none"/>
        </w:rPr>
      </w:pPr>
    </w:p>
    <w:p>
      <w:pPr>
        <w:rPr>
          <w:rFonts w:hint="default" w:ascii="黑体" w:hAnsi="黑体" w:eastAsia="黑体"/>
          <w:color w:val="000000"/>
          <w:sz w:val="28"/>
          <w:highlight w:val="none"/>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eastAsia" w:ascii="宋体" w:hAnsi="宋体" w:cs="宋体"/>
          <w:bCs/>
          <w:color w:val="auto"/>
          <w:sz w:val="28"/>
          <w:szCs w:val="28"/>
          <w:highlight w:val="none"/>
          <w:u w:val="single"/>
          <w:lang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9" w:type="default"/>
          <w:footerReference r:id="rId20"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Smtg8wBAAB6AwAADgAAAGRycy9lMm9Eb2MueG1srVPBjtMwEL0j8Q+W&#10;7zRpV0UlqruCXe1qJQRICx/gOnZjyfZYttukfAD8AScu3Pmufgdjp+kiuCEuztgz82bezMv6erCG&#10;HGSIGhyj81lNiXQCWu12jH76ePdiRUlM3LXcgJOMHmWk15vnz9a9b+QCOjCtDARBXGx6z2iXkm+q&#10;KopOWh5n4KVDp4JgecJr2FVt4D2iW1Mt6vpl1UNofQAhY8TX29FJNwVfKSnSe6WiTMQwir2lcoZy&#10;bvNZbda82QXuOy3ObfB/6MJy7bDoBeqWJ072Qf8FZbUIEEGlmQBbgVJayMIB2czrP9g8dtzLwgWH&#10;E/1lTPH/wYp3hw+B6JbRJSWOW1zR6dvX0/efpx9fyPwqz6f3scGwR4+BaXgDA+55eo/4mGkPKtj8&#10;RUIE/Tjp42W6ckhE5KTVYrWq0SXQN10Qv3pK9yGmewmWZIPRgOsrU+WHtzGNoVNIrubgThtTVmgc&#10;6Rl9tVwsS8LFg+DGYY1MYmw2W2nYDmdmW2iPSAwljAU7CJ8p6VEOjDrUKyXmweG0s3ImI0zGdjK4&#10;E5jIaKJkNG/SqLC9D3rXFc3ldqN/vU/YcmGS2xhrn7vDBZdZnMWYFfT7vUQ9/TK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ZKa2DzAEAAHoDAAAOAAAAAAAAAAEAIAAAAB4BAABkcnMvZTJv&#10;RG9jLnhtbFBLBQYAAAAABgAGAFkBAABcBQ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A7A0DEE"/>
    <w:rsid w:val="0A8F788E"/>
    <w:rsid w:val="0AAE4A96"/>
    <w:rsid w:val="0AC666F4"/>
    <w:rsid w:val="0BE24C15"/>
    <w:rsid w:val="0BFE1539"/>
    <w:rsid w:val="0C3628D7"/>
    <w:rsid w:val="0CD3116D"/>
    <w:rsid w:val="0D174255"/>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BF73EA"/>
    <w:rsid w:val="14DC364E"/>
    <w:rsid w:val="152534E9"/>
    <w:rsid w:val="15722832"/>
    <w:rsid w:val="15776F3C"/>
    <w:rsid w:val="16980C4D"/>
    <w:rsid w:val="171E7F58"/>
    <w:rsid w:val="17C42F61"/>
    <w:rsid w:val="18433A70"/>
    <w:rsid w:val="18695DE3"/>
    <w:rsid w:val="18FE400A"/>
    <w:rsid w:val="195F062F"/>
    <w:rsid w:val="19865777"/>
    <w:rsid w:val="19876CF8"/>
    <w:rsid w:val="199267D4"/>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160941"/>
    <w:rsid w:val="217F21D3"/>
    <w:rsid w:val="2180567D"/>
    <w:rsid w:val="21C61BB0"/>
    <w:rsid w:val="21ED35E0"/>
    <w:rsid w:val="22C35EAF"/>
    <w:rsid w:val="22C80A00"/>
    <w:rsid w:val="22C975B7"/>
    <w:rsid w:val="22DD59F0"/>
    <w:rsid w:val="22F75C0D"/>
    <w:rsid w:val="23064301"/>
    <w:rsid w:val="230C5CE8"/>
    <w:rsid w:val="23384AB3"/>
    <w:rsid w:val="23DB58A8"/>
    <w:rsid w:val="23EC2634"/>
    <w:rsid w:val="23F064FA"/>
    <w:rsid w:val="241053A1"/>
    <w:rsid w:val="2432177F"/>
    <w:rsid w:val="245060A9"/>
    <w:rsid w:val="24C20D54"/>
    <w:rsid w:val="25114177"/>
    <w:rsid w:val="25C96113"/>
    <w:rsid w:val="25DC4792"/>
    <w:rsid w:val="26097A28"/>
    <w:rsid w:val="26CB345B"/>
    <w:rsid w:val="26CC5F32"/>
    <w:rsid w:val="26F22307"/>
    <w:rsid w:val="271D4472"/>
    <w:rsid w:val="271D5F0A"/>
    <w:rsid w:val="27380A52"/>
    <w:rsid w:val="27512060"/>
    <w:rsid w:val="276C144B"/>
    <w:rsid w:val="27E44D0D"/>
    <w:rsid w:val="287D3B77"/>
    <w:rsid w:val="288C0557"/>
    <w:rsid w:val="29084156"/>
    <w:rsid w:val="290F7096"/>
    <w:rsid w:val="29785528"/>
    <w:rsid w:val="29B91980"/>
    <w:rsid w:val="29E123C9"/>
    <w:rsid w:val="29FE0832"/>
    <w:rsid w:val="2A03289A"/>
    <w:rsid w:val="2A1738F0"/>
    <w:rsid w:val="2A7C761D"/>
    <w:rsid w:val="2A956595"/>
    <w:rsid w:val="2AA74552"/>
    <w:rsid w:val="2B0F6376"/>
    <w:rsid w:val="2B150AFA"/>
    <w:rsid w:val="2B1A7EED"/>
    <w:rsid w:val="2BAA0794"/>
    <w:rsid w:val="2C0B2FF9"/>
    <w:rsid w:val="2C1231D5"/>
    <w:rsid w:val="2C215763"/>
    <w:rsid w:val="2C4F7571"/>
    <w:rsid w:val="2C595A50"/>
    <w:rsid w:val="2C6F6E1A"/>
    <w:rsid w:val="2D0D3F02"/>
    <w:rsid w:val="2D8065EB"/>
    <w:rsid w:val="2DCF44E2"/>
    <w:rsid w:val="2DE60E55"/>
    <w:rsid w:val="2E1B296B"/>
    <w:rsid w:val="2E262354"/>
    <w:rsid w:val="2E552C39"/>
    <w:rsid w:val="2F5015CC"/>
    <w:rsid w:val="2F716E18"/>
    <w:rsid w:val="2F8301FF"/>
    <w:rsid w:val="300A4285"/>
    <w:rsid w:val="300B11EA"/>
    <w:rsid w:val="307C1216"/>
    <w:rsid w:val="30843362"/>
    <w:rsid w:val="30CA6DC7"/>
    <w:rsid w:val="310060D1"/>
    <w:rsid w:val="326276D3"/>
    <w:rsid w:val="32701EF4"/>
    <w:rsid w:val="32B258B7"/>
    <w:rsid w:val="33900F89"/>
    <w:rsid w:val="339A10EE"/>
    <w:rsid w:val="33B757FC"/>
    <w:rsid w:val="33B83430"/>
    <w:rsid w:val="3437693D"/>
    <w:rsid w:val="34F4272D"/>
    <w:rsid w:val="34FA5C45"/>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604F1E"/>
    <w:rsid w:val="3F626CCD"/>
    <w:rsid w:val="3FC312FA"/>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4848E4"/>
    <w:rsid w:val="43521E0D"/>
    <w:rsid w:val="43B241F5"/>
    <w:rsid w:val="4420585E"/>
    <w:rsid w:val="4427077C"/>
    <w:rsid w:val="448252F0"/>
    <w:rsid w:val="450300EA"/>
    <w:rsid w:val="456E13BB"/>
    <w:rsid w:val="464F1B31"/>
    <w:rsid w:val="46B861C6"/>
    <w:rsid w:val="47A65E5C"/>
    <w:rsid w:val="47C00CCC"/>
    <w:rsid w:val="47D66741"/>
    <w:rsid w:val="47F952D8"/>
    <w:rsid w:val="48194B54"/>
    <w:rsid w:val="48C60564"/>
    <w:rsid w:val="48D159B4"/>
    <w:rsid w:val="49042E3A"/>
    <w:rsid w:val="49470950"/>
    <w:rsid w:val="49494CF1"/>
    <w:rsid w:val="49974BFF"/>
    <w:rsid w:val="4A5E1642"/>
    <w:rsid w:val="4BD50ABE"/>
    <w:rsid w:val="4C001FDF"/>
    <w:rsid w:val="4C1B3933"/>
    <w:rsid w:val="4C274490"/>
    <w:rsid w:val="4CF51CDC"/>
    <w:rsid w:val="4DBD6AAD"/>
    <w:rsid w:val="4DC42B98"/>
    <w:rsid w:val="4E0968FA"/>
    <w:rsid w:val="4E611192"/>
    <w:rsid w:val="4EB94800"/>
    <w:rsid w:val="4F216BBF"/>
    <w:rsid w:val="4F9A62A6"/>
    <w:rsid w:val="4FD44A3C"/>
    <w:rsid w:val="50F32112"/>
    <w:rsid w:val="514D61C2"/>
    <w:rsid w:val="518A6447"/>
    <w:rsid w:val="52041C5A"/>
    <w:rsid w:val="52293911"/>
    <w:rsid w:val="522B5E7C"/>
    <w:rsid w:val="523E5075"/>
    <w:rsid w:val="52421257"/>
    <w:rsid w:val="527514EF"/>
    <w:rsid w:val="531558BC"/>
    <w:rsid w:val="53C90724"/>
    <w:rsid w:val="53EB539E"/>
    <w:rsid w:val="5422054D"/>
    <w:rsid w:val="54A320E7"/>
    <w:rsid w:val="54D11CCC"/>
    <w:rsid w:val="550B6A44"/>
    <w:rsid w:val="55120D38"/>
    <w:rsid w:val="55CD509B"/>
    <w:rsid w:val="56014384"/>
    <w:rsid w:val="565B21A0"/>
    <w:rsid w:val="56710C02"/>
    <w:rsid w:val="568E7108"/>
    <w:rsid w:val="56CE6835"/>
    <w:rsid w:val="572A5C41"/>
    <w:rsid w:val="572B120F"/>
    <w:rsid w:val="573931F6"/>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AD0BB0"/>
    <w:rsid w:val="5ED209B4"/>
    <w:rsid w:val="5F085751"/>
    <w:rsid w:val="5F690E4C"/>
    <w:rsid w:val="601F69F6"/>
    <w:rsid w:val="60752C67"/>
    <w:rsid w:val="607A78E4"/>
    <w:rsid w:val="612754C0"/>
    <w:rsid w:val="613A3445"/>
    <w:rsid w:val="616049DB"/>
    <w:rsid w:val="61831D11"/>
    <w:rsid w:val="6193220F"/>
    <w:rsid w:val="61C14B50"/>
    <w:rsid w:val="61DC2CD7"/>
    <w:rsid w:val="61FE3C40"/>
    <w:rsid w:val="6235591B"/>
    <w:rsid w:val="62395966"/>
    <w:rsid w:val="62B17737"/>
    <w:rsid w:val="63415520"/>
    <w:rsid w:val="636150A9"/>
    <w:rsid w:val="637D05D7"/>
    <w:rsid w:val="63EE6769"/>
    <w:rsid w:val="640F0BB9"/>
    <w:rsid w:val="646C70CD"/>
    <w:rsid w:val="650F19B1"/>
    <w:rsid w:val="653341CC"/>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475481"/>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92602AC"/>
    <w:rsid w:val="7A205E68"/>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62</Pages>
  <Words>21294</Words>
  <Characters>22532</Characters>
  <Lines>339</Lines>
  <Paragraphs>95</Paragraphs>
  <TotalTime>1</TotalTime>
  <ScaleCrop>false</ScaleCrop>
  <LinksUpToDate>false</LinksUpToDate>
  <CharactersWithSpaces>25159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2025-03-19T02:16:00Z</cp:lastPrinted>
  <dcterms:modified xsi:type="dcterms:W3CDTF">2025-04-29T08:48:46Z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