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按照采购单位提供的技术要求拟制。关键性技术指标参数前标记“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”符号，一般性指标参数前不作标记。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★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eastAsia="zh-CN" w:bidi="ar"/>
        </w:rPr>
        <w:t>▲</w:t>
      </w:r>
      <w:r>
        <w:rPr>
          <w:rFonts w:hint="eastAsia"/>
          <w:sz w:val="28"/>
          <w:szCs w:val="28"/>
        </w:rPr>
        <w:t>”条款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需提供技术支持材料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【①技术要求中明确的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技术支持材料以具体项目为准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；②未明确的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（定制产品除外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</w:rPr>
        <w:t>）</w:t>
      </w:r>
      <w:r>
        <w:rPr>
          <w:rFonts w:hint="eastAsia" w:ascii="宋体" w:hAnsi="宋体" w:eastAsia="宋体" w:cs="宋体"/>
          <w:bCs/>
          <w:i w:val="0"/>
          <w:iCs/>
          <w:sz w:val="28"/>
          <w:szCs w:val="28"/>
          <w:highlight w:val="none"/>
          <w:lang w:eastAsia="zh-CN"/>
        </w:rPr>
        <w:t>；③定制产品的技术支持材料可提供响应承诺。】</w:t>
      </w:r>
    </w:p>
    <w:tbl>
      <w:tblPr>
        <w:tblStyle w:val="2"/>
        <w:tblpPr w:leftFromText="180" w:rightFromText="180" w:vertAnchor="text" w:horzAnchor="margin" w:tblpXSpec="center" w:tblpY="10"/>
        <w:tblOverlap w:val="never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2"/>
        <w:gridCol w:w="1181"/>
        <w:gridCol w:w="866"/>
        <w:gridCol w:w="4998"/>
        <w:gridCol w:w="179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需求名称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性质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需求具体内容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6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基本要求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采购肾功能损伤预警及管理系统软件1套，集成实施1套。基于中心现有的硬件和网络环境，对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患者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肾功能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损伤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进行早期识别、预警、随访、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统计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和管理，减少严重并发症的发生，提升医疗服务水平。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36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肾功能损伤预警及管理系统软件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2.1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能够和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医院现有EMR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、LIS、PACS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系统进行数据对接，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采集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门急诊和住院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患者基本和诊疗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信息，搭建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专病数据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库。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2.2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采用B/S架构，支持单机版和网络版。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产品说明书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彩页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白皮书等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2.3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具备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自然语言处理技术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和能力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通过机器学习，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可将病程记录等非结构化的自由文本数据转换为结构化信息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。对结构化和非结构化数据、集中式和分布式数据统一建模，以统一的数据标准对多源异构数据进行归一化处理。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产品说明书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彩页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白皮书等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2.4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基于给定的临床评判标准，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从门急诊和住院患者中筛选出急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慢性肾功能损伤患者，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通过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智能化消息提醒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对相关医务人员进行预警和提醒。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产品说明书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彩页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eastAsia="zh-CN"/>
              </w:rPr>
              <w:t>白皮书等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2.5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能对异常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指标和文本信息高亮显示，提供溯源信息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便于医务人员进行手工复核和确认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2.6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支持按科室、时间、姓名、ID号等条件筛选和展示肾功能损伤患者列表。支持关键指标数据趋势分析和展示，支持有权限用户对筛选出的患者病历信息进行一键导出。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2.7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支持按科室、病区对新发和既往慢性肾脏病、急性肾功能损伤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等患者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，以及血钙、血钾、血肌酐、尿素氮等关键化验指标进行统计分析。支持对肾功能损伤患者的随访以及干预情况进行统计分析。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2.8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支持随访计划制定，随访时间提醒，随访内容查阅、录入、修改等功能。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2.9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支持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用户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添加、删除、修改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批量用户导入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导出，支持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用户权限设置和修改，系统日志管理等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功能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2.10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系统操作界面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简单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大方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、提示清晰、逻辑性强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使用简单。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368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集成实施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3.1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指定地点部署实施。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3.2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技术指标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▲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负责项目实施与服务，适配甲方软硬件环境，满足使用要求。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综合实力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▲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项目经理具有中级（含）以上资格证书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项目团队成员具有系统架构设计高级资格证书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val="en-US" w:eastAsia="zh-CN"/>
              </w:rPr>
              <w:t>或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信息系统项目管理高级资格证书</w:t>
            </w: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  <w:t>资格证书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</w:rPr>
              <w:t>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交货时间、交货地点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合同签订后6个月内交付，交付地点由甲方指定。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付款及结算方式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合同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完成验收后付95%。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right="-27" w:rightChars="-13"/>
              <w:jc w:val="center"/>
              <w:textAlignment w:val="center"/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履约保证金/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right="-27" w:rightChars="-13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0"/>
                <w:kern w:val="0"/>
                <w:sz w:val="21"/>
                <w:szCs w:val="21"/>
              </w:rPr>
              <w:t>质量保证金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验收合格后满1年无质量问题支付剩余5%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保修年限不低于3年，全年故障停机时间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累计不高于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4小时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" w:leftChars="-95" w:right="-227" w:rightChars="-108" w:hanging="210" w:hanging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" w:leftChars="-95" w:right="-227" w:rightChars="-108" w:hanging="210" w:hanging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保修期内免费提供定期维护保养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和升级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服务。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" w:leftChars="-95" w:right="-227" w:rightChars="-108" w:hanging="210" w:hanging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" w:leftChars="-95" w:right="-227" w:rightChars="-108" w:hanging="210" w:hanging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（质保）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服务期内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免费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提供总共不少于3人次的工程师使用培训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" w:leftChars="-95" w:right="-227" w:rightChars="-108" w:hanging="210" w:hangingChars="10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售后服务4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（响应时间）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提供24小时电话响应服务，且需在2小时内解决问题；如电话支持解决不了，需现场解决，维修工程师到达现场时间≤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24小时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保密要求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遵守国家和军队保密法规制度要求。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3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6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知识产权</w:t>
            </w:r>
          </w:p>
        </w:tc>
        <w:tc>
          <w:tcPr>
            <w:tcW w:w="4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★</w:t>
            </w:r>
          </w:p>
        </w:tc>
        <w:tc>
          <w:tcPr>
            <w:tcW w:w="2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9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left"/>
              <w:textAlignment w:val="center"/>
              <w:rPr>
                <w:rFonts w:hint="eastAsia" w:ascii="宋体" w:hAnsi="宋体" w:eastAsia="宋体" w:cs="宋体"/>
                <w:i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    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承诺”的，在技术商务指标参数响应偏离表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</w:p>
        </w:tc>
      </w:tr>
    </w:tbl>
    <w:p>
      <w:bookmarkStart w:id="0" w:name="_GoBack"/>
      <w:bookmarkEnd w:id="0"/>
    </w:p>
    <w:sectPr>
      <w:pgSz w:w="11906" w:h="16838"/>
      <w:pgMar w:top="1134" w:right="1134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wOWRjZTg3ZjBlNWMzYzE4YjA1Yzg1MzdmOWRhYTcifQ=="/>
  </w:docVars>
  <w:rsids>
    <w:rsidRoot w:val="00000000"/>
    <w:rsid w:val="7D0B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2025-05-12T11:58:43Z</dcterms:created>
  <dc:creator>DOCTOR</dc:creator>
  <cp:lastModifiedBy>DOCTOR</cp:lastModifiedBy>
  <dcterms:modified xsi:type="dcterms:W3CDTF">2025-05-12T11:59:34Z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8923F17829784343B44F927D21602F24_12</vt:lpwstr>
  </property>
</Properties>
</file>