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22553"/>
      <w:bookmarkStart w:id="1" w:name="_Toc128470293"/>
      <w:bookmarkStart w:id="2" w:name="_Toc130888005"/>
      <w:bookmarkStart w:id="3" w:name="_Toc130661176"/>
      <w:bookmarkStart w:id="4" w:name="_Toc28545"/>
      <w:bookmarkStart w:id="5" w:name="_Toc132191257"/>
      <w:bookmarkStart w:id="6" w:name="_Toc9692"/>
      <w:bookmarkStart w:id="7" w:name="_Toc112317781"/>
      <w:bookmarkStart w:id="8" w:name="_Toc30564"/>
      <w:bookmarkStart w:id="9" w:name="_Toc32050"/>
      <w:bookmarkStart w:id="10" w:name="_Toc21632"/>
      <w:bookmarkStart w:id="11" w:name="_Toc112768491"/>
      <w:bookmarkStart w:id="12" w:name="_Toc132186973"/>
      <w:bookmarkStart w:id="13" w:name="_Toc128154366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30945"/>
      <w:bookmarkStart w:id="15" w:name="_Toc128151026"/>
      <w:bookmarkStart w:id="16" w:name="_Toc127820563"/>
      <w:bookmarkStart w:id="17" w:name="_Toc22387"/>
      <w:bookmarkStart w:id="18" w:name="_Toc128397969"/>
      <w:bookmarkStart w:id="19" w:name="_Toc25703"/>
      <w:bookmarkStart w:id="20" w:name="_Toc128150133"/>
      <w:bookmarkStart w:id="21" w:name="_Toc132190633"/>
      <w:bookmarkStart w:id="22" w:name="_Toc128150777"/>
      <w:bookmarkStart w:id="23" w:name="_Toc130887499"/>
      <w:bookmarkStart w:id="24" w:name="_Toc189"/>
      <w:bookmarkStart w:id="25" w:name="_Toc5320"/>
      <w:bookmarkStart w:id="26" w:name="_Toc31595"/>
      <w:bookmarkStart w:id="27" w:name="_Toc5238"/>
      <w:bookmarkStart w:id="28" w:name="_Toc2140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p>
      <w:pPr>
        <w:pStyle w:val="7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（一）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  <w:t>经济要求</w:t>
      </w:r>
    </w:p>
    <w:tbl>
      <w:tblPr>
        <w:tblStyle w:val="5"/>
        <w:tblW w:w="91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6"/>
        <w:gridCol w:w="1286"/>
        <w:gridCol w:w="5382"/>
        <w:gridCol w:w="173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合同签订后3个月内交货,交货地点由甲方指定。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签订合同付（预付）0%，物资到货（服务完成）验收后付95%。验收合格后满一年无质量问题支付剩余5%（不超过5%）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保修年限不低于5年，全年故障停机时间不高于5%（按365日/年计算)。故障停机每超出1天，按两倍时间延保。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设备软件更新升级，软件问题厂家永久免费升级处理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售后服务人员每月上门检查设备运行情况。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1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费维护期从项目验收之日起；对于各类故障必须提供7*24立即响应服务，在2小时内提出解决方案并做出明确安排，若远程不能解决问题，须在8小时内派人到现场上门服务，24小时以内排除故障，并分析故障原因，提出书面故障分析报告及防范措施。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rFonts w:hint="eastAsia" w:eastAsia="宋体"/>
          <w:bCs/>
          <w:color w:val="auto"/>
          <w:sz w:val="28"/>
          <w:szCs w:val="28"/>
          <w:highlight w:val="none"/>
          <w:lang w:eastAsia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color w:val="auto"/>
          <w:sz w:val="28"/>
          <w:szCs w:val="28"/>
          <w:highlight w:val="none"/>
        </w:rPr>
        <w:t>知识产权</w:t>
      </w:r>
      <w:r>
        <w:rPr>
          <w:rFonts w:hAnsi="宋体"/>
          <w:bCs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</w:t>
      </w: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件等材料。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/>
          <w:color w:val="auto"/>
          <w:highlight w:val="none"/>
        </w:rPr>
      </w:pPr>
      <w:bookmarkStart w:id="29" w:name="_Toc128397970"/>
      <w:bookmarkStart w:id="30" w:name="_Toc128151027"/>
      <w:bookmarkStart w:id="31" w:name="_Toc1694"/>
      <w:bookmarkStart w:id="32" w:name="_Toc132190634"/>
      <w:bookmarkStart w:id="33" w:name="_Toc128150778"/>
      <w:bookmarkStart w:id="34" w:name="_Toc128150134"/>
      <w:bookmarkStart w:id="35" w:name="_Toc13097"/>
      <w:bookmarkStart w:id="36" w:name="_Toc130887500"/>
      <w:bookmarkStart w:id="37" w:name="_Toc127820564"/>
      <w:r>
        <w:rPr>
          <w:rFonts w:hint="eastAsia"/>
          <w:color w:val="auto"/>
          <w:highlight w:val="none"/>
        </w:rPr>
        <w:br w:type="page"/>
      </w: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38" w:name="_Toc32285"/>
      <w:bookmarkStart w:id="39" w:name="_Toc2076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5"/>
        <w:tblW w:w="92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89"/>
        <w:gridCol w:w="719"/>
        <w:gridCol w:w="4554"/>
        <w:gridCol w:w="780"/>
        <w:gridCol w:w="146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92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用于真菌，抗酸分枝杆菌，细菌，肿瘤初筛，细胞背景分析的快速筛查。使用自动化设备自动扫描荧光产物和自动化识别，也可使用明场扫描。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相关资质认证文件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检测内容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设备镜下真菌菌丝呈现亮蓝色，抗酸分枝杆菌呈现黄色，细菌呈现红色，上皮细胞呈现绿色，设备平台可自动移动，可手动移动，对于所选焦点进行手动对焦，自动对焦，可自动扫描识别。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可对于体液细胞中痰液，尿液，肺泡灌洗液，脑脊液，胸腹水等样本进行扫描识别；也可对血液，病理切片等样本类型进行扫描识别。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设备光源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设备可同时拥有三种光源：荧光紫外uv光源,荧光b波段蓝色光源，明场白光源，三种不同光源可以切换进行扫描，形成图文报告单。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设备通量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要求多通量，通量范围：≥3片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设备软件登录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可通过用户名和密码的方式进行用户身份鉴别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摄像头参数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内置相机，像素不低于500万，可自动采图和手动采图。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扫描模式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设备扫描图片数量可根据需要增加，删减，设立单独图库存留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判读要求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设备可以自动判读镜下结果为阴性/阳性指标。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物镜调焦要求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设备放大倍数20x ，40x，可自动切换可手动对焦和自动对焦。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物联网要求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设备具有开放端口连接医院系统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设备主机 一套设备存储不低于1tb，CPU 英特尔i7,内存16G，专用软件一套，软件为国内自主研发，可根据医院需求更改软件，更新软件，鼠标键盘。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主机1台，物镜镜头放大倍数20X,40X各1个。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设备光源：UV紫外光源，B波段蓝色光源，明场白光源。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自动化设备自动扫描荧光产物和自动化识别系统。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开放耗材，免疫显色试剂。抗酸分枝杆菌荧光染色试剂，免疫显色试剂cell-i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设备外观包装无破损，设备配件齐全，可正常开机，使用样本可正常扫描生成报告单，光源切换均可正常使用。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彩页/说明书/技术白皮书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</w:trPr>
        <w:tc>
          <w:tcPr>
            <w:tcW w:w="92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▲标识的指标负偏离≥5项，投标企业技术分值为0分；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▲标识的指标和“无标识”指标负偏离≥7项，投标企业技术分值为0分；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★和▲标识的指标均需投标企业提供证明材料、本表所要求的“技术白皮书”为：国产产品需加盖生产厂家及报价供应商公章；进口产品需加盖国内总代理及报价供应商公章。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4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2025-05-12T08:17:04Z</dcterms:created>
  <dc:creator>admin</dc:creator>
  <cp:lastModifiedBy>admin</cp:lastModifiedBy>
  <dcterms:modified xsi:type="dcterms:W3CDTF">2025-05-12T08:17:08Z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