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112768491"/>
      <w:bookmarkStart w:id="1" w:name="_Toc132186973"/>
      <w:bookmarkStart w:id="2" w:name="_Toc21632"/>
      <w:bookmarkStart w:id="3" w:name="_Toc128154366"/>
      <w:bookmarkStart w:id="4" w:name="_Toc30564"/>
      <w:bookmarkStart w:id="5" w:name="_Toc32050"/>
      <w:bookmarkStart w:id="6" w:name="_Toc132191257"/>
      <w:bookmarkStart w:id="7" w:name="_Toc9692"/>
      <w:bookmarkStart w:id="8" w:name="_Toc28545"/>
      <w:bookmarkStart w:id="9" w:name="_Toc130888005"/>
      <w:bookmarkStart w:id="10" w:name="_Toc130661176"/>
      <w:bookmarkStart w:id="11" w:name="_Toc128470293"/>
      <w:bookmarkStart w:id="12" w:name="_Toc112317781"/>
      <w:bookmarkStart w:id="13" w:name="_Toc22553"/>
      <w:r>
        <w:rPr>
          <w:rFonts w:hint="eastAsia"/>
          <w:b w:val="0"/>
          <w:color w:val="auto"/>
          <w:szCs w:val="44"/>
          <w:highlight w:val="none"/>
          <w:lang w:val="zh-CN"/>
        </w:rPr>
        <w:t>第六章 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bookmarkStart w:id="14" w:name="_Toc130887499"/>
      <w:bookmarkStart w:id="15" w:name="_Toc132190633"/>
      <w:bookmarkStart w:id="16" w:name="_Toc128150777"/>
      <w:bookmarkStart w:id="17" w:name="_Toc128150133"/>
      <w:bookmarkStart w:id="18" w:name="_Toc189"/>
      <w:bookmarkStart w:id="19" w:name="_Toc128397969"/>
      <w:bookmarkStart w:id="20" w:name="_Toc25703"/>
      <w:bookmarkStart w:id="21" w:name="_Toc127820563"/>
      <w:bookmarkStart w:id="22" w:name="_Toc22387"/>
      <w:bookmarkStart w:id="23" w:name="_Toc128151026"/>
      <w:bookmarkStart w:id="24" w:name="_Toc30945"/>
      <w:bookmarkStart w:id="25" w:name="_Toc5238"/>
      <w:bookmarkStart w:id="26" w:name="_Toc31595"/>
      <w:bookmarkStart w:id="27" w:name="_Toc21401"/>
      <w:bookmarkStart w:id="28" w:name="_Toc5320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（商务条款均为实质性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响应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条款，不接受负偏离）</w:t>
      </w:r>
      <w:bookmarkEnd w:id="25"/>
      <w:bookmarkEnd w:id="26"/>
      <w:bookmarkEnd w:id="27"/>
      <w:bookmarkEnd w:id="28"/>
    </w:p>
    <w:p>
      <w:pPr>
        <w:pStyle w:val="7"/>
        <w:spacing w:line="560" w:lineRule="exact"/>
        <w:ind w:firstLine="560"/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（一）</w:t>
      </w:r>
      <w:r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  <w:t>经济要求</w:t>
      </w:r>
    </w:p>
    <w:tbl>
      <w:tblPr>
        <w:tblStyle w:val="5"/>
        <w:tblW w:w="93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18"/>
        <w:gridCol w:w="5384"/>
        <w:gridCol w:w="123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费维护期从项目验收之日起；对于各类故障必须提供7*24立即响应服务，在2小时内提出解决方案并做出明确安排，若远程不能解决问题，须在8小时内派人到现场上门服务，24小时以内排除故障，并分析故障原因，提出书面故障分析报告及防范措施。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560" w:lineRule="exact"/>
        <w:ind w:firstLine="560"/>
        <w:rPr>
          <w:rFonts w:hint="eastAsia" w:eastAsia="宋体"/>
          <w:bCs/>
          <w:color w:val="auto"/>
          <w:sz w:val="28"/>
          <w:szCs w:val="28"/>
          <w:highlight w:val="none"/>
          <w:lang w:eastAsia="zh-CN"/>
        </w:rPr>
      </w:pP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color w:val="auto"/>
          <w:sz w:val="28"/>
          <w:szCs w:val="28"/>
          <w:highlight w:val="none"/>
          <w:lang w:eastAsia="zh-CN"/>
        </w:rPr>
        <w:t>二</w:t>
      </w: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color w:val="auto"/>
          <w:sz w:val="28"/>
          <w:szCs w:val="28"/>
          <w:highlight w:val="none"/>
        </w:rPr>
        <w:t>知识产权</w:t>
      </w:r>
      <w:r>
        <w:rPr>
          <w:rFonts w:hAnsi="宋体"/>
          <w:bCs/>
          <w:color w:val="auto"/>
          <w:sz w:val="28"/>
          <w:szCs w:val="28"/>
          <w:highlight w:val="none"/>
        </w:rPr>
        <w:t>和保密要求</w:t>
      </w:r>
    </w:p>
    <w:p>
      <w:pPr>
        <w:pStyle w:val="7"/>
        <w:spacing w:line="560" w:lineRule="exact"/>
        <w:ind w:firstLine="560"/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报价供应商应当保证采购单位在使用该物资或其任何一部分时，不受第三方侵权指控。同时，报价供应商不得向第三方泄露采购机构提供的技术文</w:t>
      </w:r>
      <w:r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  <w:t>件等材料。</w:t>
      </w:r>
    </w:p>
    <w:p>
      <w:pPr>
        <w:pStyle w:val="7"/>
        <w:spacing w:line="560" w:lineRule="exact"/>
        <w:ind w:firstLine="560"/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rPr>
          <w:rFonts w:hint="eastAsia"/>
          <w:color w:val="auto"/>
          <w:highlight w:val="none"/>
        </w:rPr>
      </w:pPr>
      <w:bookmarkStart w:id="29" w:name="_Toc127820564"/>
      <w:bookmarkStart w:id="30" w:name="_Toc130887500"/>
      <w:bookmarkStart w:id="31" w:name="_Toc13097"/>
      <w:bookmarkStart w:id="32" w:name="_Toc128150134"/>
      <w:bookmarkStart w:id="33" w:name="_Toc128150778"/>
      <w:bookmarkStart w:id="34" w:name="_Toc132190634"/>
      <w:bookmarkStart w:id="35" w:name="_Toc1694"/>
      <w:bookmarkStart w:id="36" w:name="_Toc128151027"/>
      <w:bookmarkStart w:id="37" w:name="_Toc128397970"/>
      <w:r>
        <w:rPr>
          <w:rFonts w:hint="eastAsia"/>
          <w:color w:val="auto"/>
          <w:highlight w:val="none"/>
        </w:rPr>
        <w:br w:type="page"/>
      </w:r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38" w:name="_Toc32285"/>
      <w:bookmarkStart w:id="39" w:name="_Toc20762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tbl>
      <w:tblPr>
        <w:tblStyle w:val="5"/>
        <w:tblW w:w="92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1471"/>
        <w:gridCol w:w="853"/>
        <w:gridCol w:w="854"/>
        <w:gridCol w:w="3497"/>
        <w:gridCol w:w="830"/>
        <w:gridCol w:w="996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2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支持心电，呼吸，心率，无创血压，血氧饱和度，脉搏，体温，有创血压,12导心电同时监测，适用于成人、小儿、新生儿。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产品彩页/技术白皮书/检测报告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具有NMPA认证和FDA认证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NMPA认证和FDA认证材料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彩色触摸屏，屏幕尺寸</w:t>
            </w:r>
            <w:r>
              <w:rPr>
                <w:rStyle w:val="9"/>
                <w:lang w:val="en-US" w:eastAsia="zh-CN" w:bidi="ar"/>
              </w:rPr>
              <w:t>≤6.2英寸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重量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重量≤1.3kg（含电池）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产品彩页/技术白皮书/检测报告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转运标准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满足救护车，直升机、固定翼飞机，通过相关转运标准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产品彩页/技术白皮书/检测报告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防跌落/防水防尘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抗1.2米跌落测试；防水防尘等级≥IP32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产品彩页/技术白皮书/检测报告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心电监测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心电支持4个分析导联，实时动态同步分析，并</w:t>
            </w:r>
            <w:r>
              <w:rPr>
                <w:rStyle w:val="9"/>
                <w:lang w:val="en-US" w:eastAsia="zh-CN" w:bidi="ar"/>
              </w:rPr>
              <w:t>非</w:t>
            </w:r>
            <w:r>
              <w:rPr>
                <w:rStyle w:val="8"/>
                <w:lang w:val="en-US" w:eastAsia="zh-CN" w:bidi="ar"/>
              </w:rPr>
              <w:t>多导联波形同屏显示及12导联静息分析，支持室上性心动过速和SVCs/min等室上性心律失常分析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产品彩页/技术白皮书/检测报告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血氧监测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测量范围：0％－100％；具备PI灌注指数显示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无创血压测量模式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提供至少包含手动、自动间隔、连续、序列、整点五种测量模式，并提供24小时血压统计结果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产品彩页/技术白皮书/检测报告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血压监测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测量范围：成人收缩压（25～290）mmHg；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呼吸频率监测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监测范围：成人（0－200）次/分钟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体温监测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测量范围：（0—50）</w:t>
            </w:r>
            <w:r>
              <w:rPr>
                <w:rStyle w:val="10"/>
                <w:lang w:val="en-US" w:eastAsia="zh-CN" w:bidi="ar"/>
              </w:rPr>
              <w:t>º</w:t>
            </w:r>
            <w:r>
              <w:rPr>
                <w:rStyle w:val="8"/>
                <w:lang w:val="en-US" w:eastAsia="zh-CN" w:bidi="ar"/>
              </w:rPr>
              <w:t>C；可根据需要更改体温通道标名。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产品彩页/技术白皮书/检测报告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安全规格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ECG, TEMP, SpO2 , NIBP监测参数抗电击程度为防除颤CF型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1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报警功能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1、监护仪具备声光报警，报警分高中低三级；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2、支持图形化报警（心电电极片脱落，对应电极片单独在屏幕上闪烁报警）；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3、具备参数组合报警功能（并非早期预警评分EWS），可对患者同时多个参数变化给出统一报警提示，更好地反映病人状态，提供≥10个预设组合报警，并允许自定义≥10个组合报警。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产品彩页/技术白皮书/检测报告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存储功能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≥120小时趋势表和趋势图回顾；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>≥100条事件回顾；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≥48小时全息波形的存储与回顾。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主机工作环境温度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0—40°C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兼容模块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后期可根据临床需求升级与监护仪兼容的模块：连续心排量模块（PICCO）、二氧化碳模块等。同时可兼容与同品牌病人监护仪即插即用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锂电池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内置锂电池，最长工作时间≥2小时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产品彩页/技术白皮书/检测报告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物联功能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可与同品牌床旁监护仪即插即用，可与需求方现有中央监护系统联网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主机7台，每台配2套配套附件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无封闭耗材（试剂）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2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2" w:hRule="atLeast"/>
        </w:trPr>
        <w:tc>
          <w:tcPr>
            <w:tcW w:w="92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▲标识的指标负偏离≥2项，投标企业技术分值为0分；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▲标识的指标和“无标识”指标负偏离≥4项，投标企业技术分值为0分；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★和▲标识的指标均需投标企业提供证明材料、本表所要求的“技术白皮书”为：国产产品需加盖生产厂家及报价供应商公章；进口产品需加盖国内总代理及报价供应商公章。</w:t>
            </w:r>
          </w:p>
        </w:tc>
      </w:tr>
    </w:tbl>
    <w:p>
      <w:bookmarkStart w:id="40" w:name="_GoBack"/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81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8">
    <w:name w:val="font31"/>
    <w:basedOn w:val="6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11"/>
    <w:basedOn w:val="6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0">
    <w:name w:val="font0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2025-05-12T08:17:43Z</dcterms:created>
  <dc:creator>admin</dc:creator>
  <cp:lastModifiedBy>admin</cp:lastModifiedBy>
  <dcterms:modified xsi:type="dcterms:W3CDTF">2025-05-12T08:17:48Z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