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12768491"/>
      <w:bookmarkStart w:id="1" w:name="_Toc132186973"/>
      <w:bookmarkStart w:id="2" w:name="_Toc21632"/>
      <w:bookmarkStart w:id="3" w:name="_Toc128154366"/>
      <w:bookmarkStart w:id="4" w:name="_Toc30564"/>
      <w:bookmarkStart w:id="5" w:name="_Toc32050"/>
      <w:bookmarkStart w:id="6" w:name="_Toc132191257"/>
      <w:bookmarkStart w:id="7" w:name="_Toc9692"/>
      <w:bookmarkStart w:id="8" w:name="_Toc28545"/>
      <w:bookmarkStart w:id="9" w:name="_Toc130888005"/>
      <w:bookmarkStart w:id="10" w:name="_Toc130661176"/>
      <w:bookmarkStart w:id="11" w:name="_Toc128470293"/>
      <w:bookmarkStart w:id="12" w:name="_Toc112317781"/>
      <w:bookmarkStart w:id="13" w:name="_Toc22553"/>
      <w:r>
        <w:rPr>
          <w:rFonts w:hint="eastAsia"/>
          <w:b w:val="0"/>
          <w:color w:val="auto"/>
          <w:szCs w:val="44"/>
          <w:highlight w:val="none"/>
          <w:lang w:val="zh-CN"/>
        </w:rPr>
        <w:t>第六章 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4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14" w:name="_Toc130887499"/>
      <w:bookmarkStart w:id="15" w:name="_Toc132190633"/>
      <w:bookmarkStart w:id="16" w:name="_Toc128150777"/>
      <w:bookmarkStart w:id="17" w:name="_Toc128150133"/>
      <w:bookmarkStart w:id="18" w:name="_Toc189"/>
      <w:bookmarkStart w:id="19" w:name="_Toc128397969"/>
      <w:bookmarkStart w:id="20" w:name="_Toc25703"/>
      <w:bookmarkStart w:id="21" w:name="_Toc127820563"/>
      <w:bookmarkStart w:id="22" w:name="_Toc22387"/>
      <w:bookmarkStart w:id="23" w:name="_Toc128151026"/>
      <w:bookmarkStart w:id="24" w:name="_Toc30945"/>
      <w:bookmarkStart w:id="25" w:name="_Toc5238"/>
      <w:bookmarkStart w:id="26" w:name="_Toc31595"/>
      <w:bookmarkStart w:id="27" w:name="_Toc21401"/>
      <w:bookmarkStart w:id="28" w:name="_Toc5320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（商务条款均为实质性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eastAsia="zh-CN"/>
        </w:rPr>
        <w:t>响应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条款，不接受负偏离）</w:t>
      </w:r>
      <w:bookmarkEnd w:id="25"/>
      <w:bookmarkEnd w:id="26"/>
      <w:bookmarkEnd w:id="27"/>
      <w:bookmarkEnd w:id="28"/>
    </w:p>
    <w:p>
      <w:pPr>
        <w:pStyle w:val="7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（一）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  <w:t>经济要求</w:t>
      </w:r>
    </w:p>
    <w:tbl>
      <w:tblPr>
        <w:tblStyle w:val="5"/>
        <w:tblW w:w="92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5"/>
        <w:gridCol w:w="1741"/>
        <w:gridCol w:w="4686"/>
        <w:gridCol w:w="183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维修响应时间≤1小时，维修到达现场时间≤4小时。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 8年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配套扳手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rFonts w:hint="eastAsia" w:eastAsia="宋体"/>
          <w:bCs/>
          <w:color w:val="auto"/>
          <w:sz w:val="28"/>
          <w:szCs w:val="28"/>
          <w:highlight w:val="none"/>
          <w:lang w:eastAsia="zh-CN"/>
        </w:rPr>
      </w:pP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color w:val="auto"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color w:val="auto"/>
          <w:sz w:val="28"/>
          <w:szCs w:val="28"/>
          <w:highlight w:val="none"/>
        </w:rPr>
        <w:t>知识产权</w:t>
      </w:r>
      <w:r>
        <w:rPr>
          <w:rFonts w:hAnsi="宋体"/>
          <w:bCs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</w:t>
      </w: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件等材料。</w:t>
      </w:r>
    </w:p>
    <w:p>
      <w:pPr>
        <w:pStyle w:val="7"/>
        <w:spacing w:line="560" w:lineRule="exact"/>
        <w:ind w:firstLine="560"/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cs="Times New Roman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rPr>
          <w:rFonts w:hint="eastAsia"/>
          <w:color w:val="auto"/>
          <w:highlight w:val="none"/>
        </w:rPr>
      </w:pPr>
      <w:bookmarkStart w:id="29" w:name="_Toc128397970"/>
      <w:bookmarkStart w:id="30" w:name="_Toc128151027"/>
      <w:bookmarkStart w:id="31" w:name="_Toc1694"/>
      <w:bookmarkStart w:id="32" w:name="_Toc132190634"/>
      <w:bookmarkStart w:id="33" w:name="_Toc128150778"/>
      <w:bookmarkStart w:id="34" w:name="_Toc128150134"/>
      <w:bookmarkStart w:id="35" w:name="_Toc13097"/>
      <w:bookmarkStart w:id="36" w:name="_Toc130887500"/>
      <w:bookmarkStart w:id="37" w:name="_Toc127820564"/>
      <w:r>
        <w:rPr>
          <w:rFonts w:hint="eastAsia"/>
          <w:color w:val="auto"/>
          <w:highlight w:val="none"/>
        </w:rPr>
        <w:br w:type="page"/>
      </w:r>
    </w:p>
    <w:p>
      <w:pPr>
        <w:pStyle w:val="4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38" w:name="_Toc20762"/>
      <w:bookmarkStart w:id="39" w:name="_Toc32285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tbl>
      <w:tblPr>
        <w:tblStyle w:val="5"/>
        <w:tblW w:w="92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424"/>
        <w:gridCol w:w="814"/>
        <w:gridCol w:w="497"/>
        <w:gridCol w:w="3334"/>
        <w:gridCol w:w="814"/>
        <w:gridCol w:w="150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3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适用于成人、小儿患者通气辅助及呼吸支持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通过NMPA认证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NMPA认证材料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呼吸机类型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气动电控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呼吸模式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容量控制/辅助通气模式、和容量同步间歇指令通气模式、压力控制/辅助通气模式、同步间歇指令通气模式、持续气道正压通气模式、压力支持通气模式、窒息通气模式，自适应分钟通气模式，心肺复苏通气模式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基础参数设置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 xml:space="preserve">潮气量：20ml—3000ml                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 xml:space="preserve">呼吸频率：1—100/min                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吸气压力：1—100 cmH</w:t>
            </w:r>
            <w:r>
              <w:rPr>
                <w:rStyle w:val="9"/>
                <w:lang w:val="en-US" w:eastAsia="zh-CN" w:bidi="ar"/>
              </w:rPr>
              <w:t>2</w:t>
            </w:r>
            <w:r>
              <w:rPr>
                <w:rStyle w:val="8"/>
                <w:lang w:val="en-US" w:eastAsia="zh-CN" w:bidi="ar"/>
              </w:rPr>
              <w:t xml:space="preserve">O             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吸呼比：4:1—1:10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触发灵敏度设置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8"/>
                <w:lang w:val="en-US" w:eastAsia="zh-CN" w:bidi="ar"/>
              </w:rPr>
              <w:t>压力触发灵敏度：（-20— - 0.5）cmH</w:t>
            </w:r>
            <w:r>
              <w:rPr>
                <w:rStyle w:val="9"/>
                <w:lang w:val="en-US" w:eastAsia="zh-CN" w:bidi="ar"/>
              </w:rPr>
              <w:t>2</w:t>
            </w:r>
            <w:r>
              <w:rPr>
                <w:rStyle w:val="8"/>
                <w:lang w:val="en-US" w:eastAsia="zh-CN" w:bidi="ar"/>
              </w:rPr>
              <w:t xml:space="preserve">O    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 xml:space="preserve">呼气触发灵敏度：1%—70%             </w:t>
            </w:r>
            <w:r>
              <w:rPr>
                <w:rStyle w:val="8"/>
                <w:lang w:val="en-US" w:eastAsia="zh-CN" w:bidi="ar"/>
              </w:rPr>
              <w:br w:type="textWrapping"/>
            </w:r>
            <w:r>
              <w:rPr>
                <w:rStyle w:val="8"/>
                <w:lang w:val="en-US" w:eastAsia="zh-CN" w:bidi="ar"/>
              </w:rPr>
              <w:t>流速触发灵敏度：（0.5—20）L/ min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≥15英寸触摸显示屏，中文操作界面，多至5道波形同屏显示，支持短趋势、动态肺图、波形、监测值同屏显示；≥6种环图，全参数显示界面和环图显示界面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动态肺视图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具备，能实时图形化显示患者气道阻抗、肺顺应性、通气量等力学参数变化，动态肺视图包含肺损伤、肺塌陷对应参数柱状图风险提示。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提供机器截图或界面照片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辅助压监测基础监测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双通道辅助压监测，实时监测食道压和胃内压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辅助压监测辅助压置管工具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实时检测识别食道压气囊位置，一键自动阻塞实验确认气囊位置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辅助压监测辅助压软件功能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具备食道压滤波技术和食道压基线校准功能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可升级EIT功能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人机不同步事件看板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具有人机不同步事件统计看板，显示最近各种人机不同步事件的发生率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人机不同步自动识别功能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人机不同步事件自动识别和标注功能，可以实时自动识别并标注无效触发、双触发、反向触发、误触发和流速饥渴中的至少3种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智能脱机预测功能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肺复张工具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脱机辅助工具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静态P-V环图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监测参数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气道峰压、平台压、平均压、呼气末正压、分钟通气量、潮气量、呼吸频率、肺力学参数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4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报警参数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具有智能逻辑判断及报警链管理，报警可采用图形化和文字指引进行故障提示；包含气道压力：过高/过低报警、分钟通气量：过高/过低报警、潮气量：过高/过低报警、总呼吸频率：过高/过低报警、窒息报警等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氧电池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长效氧电池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技术白皮书、检测报告，产品彩页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呼吸机主机1台，湿化器1个，台车1台，管路吊臂1个，一次性呼吸管路1套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配套耗材（试剂）要求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▲标识的指标负偏离≥2项，投标企业技术分值为0分；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▲标识的指标和“无标识”指标负偏离≥4项，投标企业技术分值为0分；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★和▲标识的指标均需投标企业提供证明材料、本表所要求的“技术白皮书”为：国产产品需加盖生产厂家及报价供应商公章；进口产品需加盖国内总代理及报价供应商公章。</w:t>
            </w:r>
          </w:p>
        </w:tc>
      </w:tr>
    </w:tbl>
    <w:p>
      <w:bookmarkStart w:id="40" w:name="_GoBack"/>
      <w:bookmarkEnd w:id="4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0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8">
    <w:name w:val="font3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0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2025-05-12T08:18:20Z</dcterms:created>
  <dc:creator>admin</dc:creator>
  <cp:lastModifiedBy>admin</cp:lastModifiedBy>
  <dcterms:modified xsi:type="dcterms:W3CDTF">2025-05-12T08:18:23Z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