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color w:val="auto"/>
          <w:szCs w:val="44"/>
          <w:highlight w:val="none"/>
          <w:lang w:val="zh-CN"/>
        </w:rPr>
      </w:pPr>
      <w:bookmarkStart w:id="0" w:name="_Toc112768491"/>
      <w:bookmarkStart w:id="1" w:name="_Toc132186973"/>
      <w:bookmarkStart w:id="2" w:name="_Toc21632"/>
      <w:bookmarkStart w:id="3" w:name="_Toc128154366"/>
      <w:bookmarkStart w:id="4" w:name="_Toc30564"/>
      <w:bookmarkStart w:id="5" w:name="_Toc32050"/>
      <w:bookmarkStart w:id="6" w:name="_Toc132191257"/>
      <w:bookmarkStart w:id="7" w:name="_Toc9692"/>
      <w:bookmarkStart w:id="8" w:name="_Toc28545"/>
      <w:bookmarkStart w:id="9" w:name="_Toc130888005"/>
      <w:bookmarkStart w:id="10" w:name="_Toc130661176"/>
      <w:bookmarkStart w:id="11" w:name="_Toc128470293"/>
      <w:bookmarkStart w:id="12" w:name="_Toc112317781"/>
      <w:bookmarkStart w:id="13" w:name="_Toc22553"/>
      <w:r>
        <w:rPr>
          <w:rFonts w:hint="eastAsia"/>
          <w:b w:val="0"/>
          <w:color w:val="auto"/>
          <w:szCs w:val="44"/>
          <w:highlight w:val="none"/>
          <w:lang w:val="zh-CN"/>
        </w:rPr>
        <w:t>第六章 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>
      <w:pPr>
        <w:pStyle w:val="4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  <w:highlight w:val="none"/>
        </w:rPr>
      </w:pPr>
      <w:bookmarkStart w:id="14" w:name="_Toc130887499"/>
      <w:bookmarkStart w:id="15" w:name="_Toc132190633"/>
      <w:bookmarkStart w:id="16" w:name="_Toc128150777"/>
      <w:bookmarkStart w:id="17" w:name="_Toc128150133"/>
      <w:bookmarkStart w:id="18" w:name="_Toc189"/>
      <w:bookmarkStart w:id="19" w:name="_Toc128397969"/>
      <w:bookmarkStart w:id="20" w:name="_Toc25703"/>
      <w:bookmarkStart w:id="21" w:name="_Toc127820563"/>
      <w:bookmarkStart w:id="22" w:name="_Toc22387"/>
      <w:bookmarkStart w:id="23" w:name="_Toc128151026"/>
      <w:bookmarkStart w:id="24" w:name="_Toc30945"/>
      <w:bookmarkStart w:id="25" w:name="_Toc5238"/>
      <w:bookmarkStart w:id="26" w:name="_Toc31595"/>
      <w:bookmarkStart w:id="27" w:name="_Toc21401"/>
      <w:bookmarkStart w:id="28" w:name="_Toc5320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一、商务要求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（商务条款均为实质性</w:t>
      </w: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  <w:lang w:eastAsia="zh-CN"/>
        </w:rPr>
        <w:t>响应</w:t>
      </w: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条款，不接受负偏离）</w:t>
      </w:r>
      <w:bookmarkEnd w:id="25"/>
      <w:bookmarkEnd w:id="26"/>
      <w:bookmarkEnd w:id="27"/>
      <w:bookmarkEnd w:id="28"/>
    </w:p>
    <w:p>
      <w:pPr>
        <w:pStyle w:val="7"/>
        <w:spacing w:line="560" w:lineRule="exact"/>
        <w:ind w:firstLine="560"/>
        <w:rPr>
          <w:rFonts w:hint="eastAsia" w:hAnsi="宋体"/>
          <w:bCs/>
          <w:color w:val="auto"/>
          <w:sz w:val="28"/>
          <w:szCs w:val="28"/>
          <w:highlight w:val="none"/>
          <w:lang w:val="zh-CN"/>
        </w:rPr>
      </w:pPr>
      <w:r>
        <w:rPr>
          <w:rFonts w:hAnsi="宋体"/>
          <w:bCs/>
          <w:color w:val="auto"/>
          <w:sz w:val="28"/>
          <w:szCs w:val="28"/>
          <w:highlight w:val="none"/>
          <w:lang w:val="zh-CN"/>
        </w:rPr>
        <w:t>（一）</w:t>
      </w:r>
      <w:r>
        <w:rPr>
          <w:rFonts w:hint="eastAsia" w:hAnsi="宋体"/>
          <w:bCs/>
          <w:color w:val="auto"/>
          <w:sz w:val="28"/>
          <w:szCs w:val="28"/>
          <w:highlight w:val="none"/>
          <w:lang w:val="zh-CN"/>
        </w:rPr>
        <w:t>经济要求</w:t>
      </w:r>
    </w:p>
    <w:tbl>
      <w:tblPr>
        <w:tblStyle w:val="5"/>
        <w:tblW w:w="896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2"/>
        <w:gridCol w:w="1405"/>
        <w:gridCol w:w="5308"/>
        <w:gridCol w:w="1445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</w:trPr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合同签订后1个月内交付，交付地点由甲方指定。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签订合同付（预付）0%，物资到货（服务完成）验收后付95%。验收合格后满1年无质量问题支付剩余5%（不超过5%）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</w:trPr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保修年限不低于3年，全年故障停机时间不高于5%（按365日/年计算)。故障停机每超出1天，按两倍时间延保。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提供不少于1人次、1天的工程师维修培训。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维修响应时间≤1小时，维修到达现场时间≤4小时。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由供应商承诺设备零配件供应≥8年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7"/>
        <w:spacing w:line="560" w:lineRule="exact"/>
        <w:ind w:firstLine="560"/>
        <w:rPr>
          <w:rFonts w:hint="eastAsia" w:eastAsia="宋体"/>
          <w:bCs/>
          <w:color w:val="auto"/>
          <w:sz w:val="28"/>
          <w:szCs w:val="28"/>
          <w:highlight w:val="none"/>
          <w:lang w:eastAsia="zh-CN"/>
        </w:rPr>
      </w:pPr>
      <w:r>
        <w:rPr>
          <w:rFonts w:hAnsi="宋体"/>
          <w:bCs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Cs/>
          <w:color w:val="auto"/>
          <w:sz w:val="28"/>
          <w:szCs w:val="28"/>
          <w:highlight w:val="none"/>
          <w:lang w:eastAsia="zh-CN"/>
        </w:rPr>
        <w:t>二</w:t>
      </w:r>
      <w:r>
        <w:rPr>
          <w:rFonts w:hAnsi="宋体"/>
          <w:bCs/>
          <w:color w:val="auto"/>
          <w:sz w:val="28"/>
          <w:szCs w:val="28"/>
          <w:highlight w:val="none"/>
          <w:lang w:val="zh-CN"/>
        </w:rPr>
        <w:t>）</w:t>
      </w:r>
      <w:r>
        <w:rPr>
          <w:rFonts w:hint="eastAsia" w:hAnsi="宋体"/>
          <w:bCs/>
          <w:color w:val="auto"/>
          <w:sz w:val="28"/>
          <w:szCs w:val="28"/>
          <w:highlight w:val="none"/>
        </w:rPr>
        <w:t>知识产权</w:t>
      </w:r>
      <w:r>
        <w:rPr>
          <w:rFonts w:hAnsi="宋体"/>
          <w:bCs/>
          <w:color w:val="auto"/>
          <w:sz w:val="28"/>
          <w:szCs w:val="28"/>
          <w:highlight w:val="none"/>
        </w:rPr>
        <w:t>和保密要求</w:t>
      </w:r>
    </w:p>
    <w:p>
      <w:pPr>
        <w:pStyle w:val="7"/>
        <w:spacing w:line="560" w:lineRule="exact"/>
        <w:ind w:firstLine="560"/>
        <w:rPr>
          <w:rFonts w:hint="eastAsia" w:ascii="Times New Roman" w:hAnsi="Times New Roman" w:cs="Times New Roman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报价供应商应当保证采购单位在使用该物资或其任何一部分时，不受第三方侵权指控。同时，报价供应商不得向第三方泄露采购机构提供的技术文</w:t>
      </w:r>
      <w:r>
        <w:rPr>
          <w:rFonts w:hint="eastAsia" w:ascii="Times New Roman" w:hAnsi="Times New Roman" w:cs="Times New Roman"/>
          <w:bCs/>
          <w:color w:val="auto"/>
          <w:sz w:val="28"/>
          <w:szCs w:val="28"/>
          <w:highlight w:val="none"/>
          <w:lang w:val="zh-CN"/>
        </w:rPr>
        <w:t>件等材料。</w:t>
      </w:r>
    </w:p>
    <w:p>
      <w:pPr>
        <w:pStyle w:val="7"/>
        <w:spacing w:line="560" w:lineRule="exact"/>
        <w:ind w:firstLine="560"/>
        <w:rPr>
          <w:rFonts w:hint="eastAsia" w:ascii="Times New Roman" w:hAnsi="Times New Roman" w:cs="Times New Roman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Times New Roman" w:hAnsi="Times New Roman" w:cs="Times New Roman"/>
          <w:bCs/>
          <w:color w:val="auto"/>
          <w:sz w:val="28"/>
          <w:szCs w:val="28"/>
          <w:highlight w:val="none"/>
          <w:lang w:val="zh-CN"/>
        </w:rPr>
        <w:t>基于项目合同履行形成的知识产权和其他权益，其权属归采购单位所有，法律另有规定的除外。</w:t>
      </w:r>
    </w:p>
    <w:p>
      <w:pPr>
        <w:rPr>
          <w:rFonts w:hint="eastAsia"/>
          <w:color w:val="auto"/>
          <w:highlight w:val="none"/>
        </w:rPr>
      </w:pPr>
      <w:bookmarkStart w:id="29" w:name="_Toc127820564"/>
      <w:bookmarkStart w:id="30" w:name="_Toc130887500"/>
      <w:bookmarkStart w:id="31" w:name="_Toc13097"/>
      <w:bookmarkStart w:id="32" w:name="_Toc128150134"/>
      <w:bookmarkStart w:id="33" w:name="_Toc128150778"/>
      <w:bookmarkStart w:id="34" w:name="_Toc132190634"/>
      <w:bookmarkStart w:id="35" w:name="_Toc1694"/>
      <w:bookmarkStart w:id="36" w:name="_Toc128151027"/>
      <w:bookmarkStart w:id="37" w:name="_Toc128397970"/>
      <w:r>
        <w:rPr>
          <w:rFonts w:hint="eastAsia"/>
          <w:color w:val="auto"/>
          <w:highlight w:val="none"/>
        </w:rPr>
        <w:br w:type="page"/>
      </w:r>
    </w:p>
    <w:p>
      <w:pPr>
        <w:pStyle w:val="4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bookmarkStart w:id="38" w:name="_Toc32285"/>
      <w:bookmarkStart w:id="39" w:name="_Toc20762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二、技术要求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tbl>
      <w:tblPr>
        <w:tblStyle w:val="5"/>
        <w:tblW w:w="934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2"/>
        <w:gridCol w:w="1210"/>
        <w:gridCol w:w="801"/>
        <w:gridCol w:w="803"/>
        <w:gridCol w:w="3773"/>
        <w:gridCol w:w="816"/>
        <w:gridCol w:w="1245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1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3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3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借助气道廓清技术清除气道淤积分泌物、改善启动气流、改善肺通气/换气功能、促进肺复张、改善氧合。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彩页/说明书/技术白皮书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具备NMPA证书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相关资质认证文件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软件具备功能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包含：排痰功能（手动、自动、自定义模式、血氧功能）与咳痰功能（手动、自动、高级、自定义模式）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彩页/说明书/技术白皮书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设备具备功能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包含：胸壁松动功能、气道内松动功能、分泌物聚集功能、分泌物排出功能。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彩页/说明书/技术白皮书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7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设备通用模式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成人模式、重症模式、老人模式、手动模式、自定义模式。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彩页/说明书/技术白皮书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血氧功能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应具备血氧功能，监测患者血氧和心率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彩页/说明书/技术白皮书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5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自命名功能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可定制治疗参数，可使用汉字命名保存，断电中断以后又恢复时参数不变。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彩页/说明书/技术白皮书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充气气囊最大气压承受力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≥70毫米汞柱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振荡功能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需为双管路同时输出动力：频率为1-25Hz，最大值误差≤士2Hz；压力为 1-40mmHg，误差≤士1.5mmHg。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彩页/说明书/技术白皮书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1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吸气呼气压力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吸气压力范围为（0-7)Kpa，呼气压力范围(-7-0)Kpa连续可调，呼、吸气时间及间隔时间为(0-5)s连续可调。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4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需要具备的高级功能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至少具备呼吸触发功能、血氧监测功能及振荡功能，设备需具备指示功能，屏幕能够在工作时至少显示包含：当前压力、时间、潮气量和峰流速。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彩页/说明书/技术白皮书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吸气流量时间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吸气流量由低或中上升至高档，上升时间≤1s。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工作噪声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设备在正常工作时，噪声≤80dB（A）。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需要提供第三方检测报告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4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气动压力安全有效范围及输出准确性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压力范围小于40mmHg时，测量压力输出与设置值的误差≤2.0mmHg。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导气软管连接的可靠性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在管路连接方向上作用≥10N的力≥1min，管路与设备和充气气囊不分离。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电源适应性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设备供电在额定电压≤±10%的范围内，设备的输出气动频率和最大气动压力变化率应≤±10%。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使用年限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设备的有效期/使用年限≥10年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1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至少包含主机1台、充气气囊（排痰背心）至少2件、背心式导气管至少2条、咳痰专用软管含转接头、面罩、过滤器至少1套。（配套耗材为开放耗材）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0" w:hRule="atLeast"/>
        </w:trPr>
        <w:tc>
          <w:tcPr>
            <w:tcW w:w="93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▲标识的指标负偏离≥7项，投标企业技术分值为0分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▲标识的指标和“无标识”指标负偏离≥14项，投标企业技术分值为0分；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★和▲标识的指标均需投标企业提供证明材料、本表所要求的“技术白皮书”为：国产产品需加盖生产厂家及报价供应商公章；进口产品需加盖国内总代理及报价供应商公章。</w:t>
            </w:r>
          </w:p>
        </w:tc>
      </w:tr>
    </w:tbl>
    <w:p>
      <w:bookmarkStart w:id="40" w:name="_GoBack"/>
      <w:bookmarkEnd w:id="4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5E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2025-05-12T08:18:50Z</dcterms:created>
  <dc:creator>admin</dc:creator>
  <cp:lastModifiedBy>admin</cp:lastModifiedBy>
  <dcterms:modified xsi:type="dcterms:W3CDTF">2025-05-12T08:18:53Z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