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9692"/>
      <w:bookmarkStart w:id="1" w:name="_Toc128154366"/>
      <w:bookmarkStart w:id="2" w:name="_Toc32050"/>
      <w:bookmarkStart w:id="3" w:name="_Toc112768491"/>
      <w:bookmarkStart w:id="4" w:name="_Toc132186973"/>
      <w:bookmarkStart w:id="5" w:name="_Toc130888005"/>
      <w:bookmarkStart w:id="6" w:name="_Toc112317781"/>
      <w:bookmarkStart w:id="7" w:name="_Toc21632"/>
      <w:bookmarkStart w:id="8" w:name="_Toc130661176"/>
      <w:bookmarkStart w:id="9" w:name="_Toc30564"/>
      <w:bookmarkStart w:id="10" w:name="_Toc132191257"/>
      <w:bookmarkStart w:id="11" w:name="_Toc28545"/>
      <w:bookmarkStart w:id="12" w:name="_Toc128470293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2"/>
        <w:rPr>
          <w:highlight w:val="none"/>
        </w:rPr>
      </w:pPr>
    </w:p>
    <w:tbl>
      <w:tblPr>
        <w:tblStyle w:val="42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20"/>
        <w:gridCol w:w="514"/>
        <w:gridCol w:w="4789"/>
        <w:gridCol w:w="704"/>
        <w:gridCol w:w="1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快速无创测定全身及各部位的肌肉含量、脂肪含量、水分含量、以及蛋白质和无机盐含量等。根据测试数据可对老年人群、亚健康人群、浮肿人群等进行综合性评估，给予其相应的运动及饮食建议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原厂技术参数或技术白皮书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具备NMPA（CFDA)认证，同时具备FDA或CE认证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≤60秒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年龄：(3-99)岁、身高：(95-220)cm、体重：(10-270)kg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直接节段多频率生物电阻抗分析测量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据实测量，同一个人在报告上输入不同性别和年龄结果值不变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提供报告证明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电阻抗(Z) 通过包含1kHz、50kHz和500kHz在内的至少6种不同频率，分别在左右上下肢及躯干共5个节段部分进行电阻抗测量；电抗（Xc）通过包含5kHz, 50kHz,250kHz 在内的至少3种不同频率分别在5个节段进行测量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产品彩页或说明书或检验报告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4极8点接触式电极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标准范围制定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可以根据需要自行设定体脂百分比、腰臀比和BMI等的正常范围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测量结果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至少包含身体总水分、蛋白质、无机盐、体脂肪、肌肉量、细胞外水分比率分析,  评分,体型, 体重控制, 身体均衡评估, 节段脂肪分析, 节段水分分析，腹部脂肪率(图解)，研究项目(基础代谢率、腰臀比、内脏脂肪等级、肥胖度、骨矿物质含量、身体细胞量、去脂体重指数、脂肪量指数), 电抗,阻抗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产品彩页或说明书或检验报告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可输出报告纸类型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至少包含体成分报告纸、儿童生长发育报告纸、身体水分报告纸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阻抗测量允差范围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四肢±1%，躯干±3%以内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产品彩页或说明书或检验报告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高级营养参数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至少包含身体细胞量、相位角、SMI(四肢骨骼肌指数)、生物电阻抗矢量分析图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可根据细胞外水分比率输出目标干体重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科研支持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用该品牌发表过SCI级文章≥80篇，（越多越优）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提供论文目录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硬件配置要求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人体成份分析仪主机1套、激光打印机1台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▲标识的指标负偏离≥3项，投标企业技术分值为0分</w:t>
            </w:r>
          </w:p>
          <w:p>
            <w:pPr>
              <w:pStyle w:val="2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▲标识的指标和“无标识”指标负偏离≥6项，投标企业技术分值为0分</w:t>
            </w:r>
          </w:p>
        </w:tc>
      </w:tr>
    </w:tbl>
    <w:p>
      <w:pPr>
        <w:pStyle w:val="2"/>
        <w:rPr>
          <w:highlight w:val="none"/>
        </w:rPr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</w:p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</w:p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  <w:r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  <w:t>第八章 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2722875"/>
    <w:rsid w:val="03341722"/>
    <w:rsid w:val="039A4DF7"/>
    <w:rsid w:val="043D4889"/>
    <w:rsid w:val="04504BAA"/>
    <w:rsid w:val="046E1FF1"/>
    <w:rsid w:val="04A465CA"/>
    <w:rsid w:val="04FE79C8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9DC0232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415728"/>
    <w:rsid w:val="0FF10C12"/>
    <w:rsid w:val="10230F9F"/>
    <w:rsid w:val="111B15B3"/>
    <w:rsid w:val="11442F55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7F101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0D594D"/>
    <w:rsid w:val="2F3454AC"/>
    <w:rsid w:val="2F641874"/>
    <w:rsid w:val="2F894C82"/>
    <w:rsid w:val="30843362"/>
    <w:rsid w:val="31605F1F"/>
    <w:rsid w:val="3246625B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6E9684C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BEF07F1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89C35E6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3616EB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8E6D33"/>
    <w:rsid w:val="6BB30C81"/>
    <w:rsid w:val="6BD278F6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4274587"/>
    <w:rsid w:val="756E3C30"/>
    <w:rsid w:val="76796366"/>
    <w:rsid w:val="77D53193"/>
    <w:rsid w:val="787B7065"/>
    <w:rsid w:val="7A3A36CD"/>
    <w:rsid w:val="7A4153ED"/>
    <w:rsid w:val="7ABD27F2"/>
    <w:rsid w:val="7AF06CEC"/>
    <w:rsid w:val="7B5E2C5D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4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38768</Words>
  <Characters>40465</Characters>
  <Lines>347</Lines>
  <Paragraphs>97</Paragraphs>
  <TotalTime>8</TotalTime>
  <ScaleCrop>false</ScaleCrop>
  <LinksUpToDate>false</LinksUpToDate>
  <CharactersWithSpaces>44619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2025-04-16T08:49:00Z</cp:lastPrinted>
  <dcterms:modified xsi:type="dcterms:W3CDTF">2025-04-21T01:08:38Z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