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743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741"/>
        <w:gridCol w:w="565"/>
        <w:gridCol w:w="26"/>
        <w:gridCol w:w="565"/>
        <w:gridCol w:w="6000"/>
        <w:gridCol w:w="191"/>
        <w:gridCol w:w="354"/>
        <w:gridCol w:w="594"/>
        <w:gridCol w:w="1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17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23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2025-JQ06-W3028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医用雾化器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  <w:jc w:val="center"/>
        </w:trPr>
        <w:tc>
          <w:tcPr>
            <w:tcW w:w="1174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用于上下呼吸道的雾化治疗，对液态药物进行雾化，并通过患者吸入，起到预期的治疗效果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操作原理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筛孔振动雾化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雾化率调节功能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≥3档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雾化速率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≥0.2mL/min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筛网孔径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4μm±25%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雾粒中位粒径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4μm±25%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自动定时功能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6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残液量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雾化器残液量≤0.1mL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超声震荡频率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108kHz,误差范围±10%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8台医用雾化器，单台套包括：雾化器主机*1，雾化装置*1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厂家承诺及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174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6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  <w:jc w:val="center"/>
        </w:trPr>
        <w:tc>
          <w:tcPr>
            <w:tcW w:w="1174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。本表所要求的“技术白皮书”为：国产产品需加盖生产厂家及投标人公章；进口产品需加盖国内总代理及投标人公章。；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3.▲标识的指标和“无标识”指标负偏离≥3项，投标企业技术分值为0分。</w:t>
            </w:r>
          </w:p>
        </w:tc>
      </w:tr>
    </w:tbl>
    <w:p/>
    <w:p/>
    <w:tbl>
      <w:tblPr>
        <w:tblStyle w:val="3"/>
        <w:tblW w:w="9862" w:type="dxa"/>
        <w:jc w:val="center"/>
        <w:tblInd w:w="5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1950"/>
        <w:gridCol w:w="1637"/>
        <w:gridCol w:w="1437"/>
        <w:gridCol w:w="1280"/>
        <w:gridCol w:w="865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98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医用雾化器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3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6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eastAsia="zh-CN"/>
              </w:rPr>
              <w:t>雾化装置</w:t>
            </w: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厂家自报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13.8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98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hanging="420" w:hanging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.计量单位为最小使用单位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1778B"/>
    <w:rsid w:val="16BC5F32"/>
    <w:rsid w:val="23724E7C"/>
    <w:rsid w:val="39B3529E"/>
    <w:rsid w:val="62F1778B"/>
    <w:rsid w:val="6BC42A1C"/>
    <w:rsid w:val="76E00851"/>
    <w:rsid w:val="7ABD5483"/>
    <w:rsid w:val="7B7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5">
    <w:name w:val="font2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3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2025-05-07T07:58:00Z</dcterms:created>
  <dc:creator>DOCTOR</dc:creator>
  <cp:lastModifiedBy>DOCTOR</cp:lastModifiedBy>
  <dcterms:modified xsi:type="dcterms:W3CDTF">2025-05-07T08:51:30Z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