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3"/>
        <w:rPr>
          <w:rFonts w:ascii="方正小标宋简体" w:eastAsia="方正小标宋简体"/>
          <w:b w:val="0"/>
          <w:sz w:val="84"/>
          <w:szCs w:val="84"/>
          <w:highlight w:val="none"/>
        </w:rPr>
      </w:pPr>
      <w:bookmarkStart w:id="0" w:name="_Toc128151016"/>
      <w:bookmarkStart w:id="1" w:name="_Toc127820554"/>
      <w:bookmarkStart w:id="2" w:name="_Toc130657527"/>
      <w:bookmarkStart w:id="3" w:name="_Toc128397959"/>
      <w:bookmarkStart w:id="4" w:name="_Toc128150123"/>
      <w:bookmarkStart w:id="5" w:name="_Toc130886988"/>
      <w:bookmarkStart w:id="6" w:name="_Toc130657981"/>
      <w:bookmarkStart w:id="7" w:name="_Toc130887489"/>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shd w:val="clear"/>
        <w:spacing w:line="560" w:lineRule="exact"/>
        <w:ind w:firstLine="2160" w:firstLineChars="600"/>
        <w:jc w:val="both"/>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eastAsia="zh-CN"/>
        </w:rPr>
        <w:t>氮气发生器</w:t>
      </w:r>
    </w:p>
    <w:p>
      <w:pPr>
        <w:pStyle w:val="22"/>
        <w:shd w:val="clear"/>
        <w:adjustRightInd w:val="0"/>
        <w:snapToGrid w:val="0"/>
        <w:spacing w:line="240" w:lineRule="atLeast"/>
        <w:ind w:left="0" w:leftChars="0" w:firstLine="2160" w:firstLineChars="600"/>
        <w:jc w:val="both"/>
        <w:rPr>
          <w:rFonts w:hint="default" w:hAnsi="宋体"/>
          <w:bCs/>
          <w:sz w:val="32"/>
          <w:szCs w:val="32"/>
          <w:highlight w:val="none"/>
          <w:lang w:val="en-US"/>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2024-JQ06-W3619</w:t>
      </w:r>
    </w:p>
    <w:p>
      <w:pPr>
        <w:pStyle w:val="22"/>
        <w:shd w:val="clear"/>
        <w:adjustRightInd w:val="0"/>
        <w:snapToGrid w:val="0"/>
        <w:spacing w:line="240" w:lineRule="atLeast"/>
        <w:jc w:val="center"/>
        <w:rPr>
          <w:rFonts w:hAnsi="宋体"/>
          <w:bCs/>
          <w:sz w:val="32"/>
          <w:szCs w:val="32"/>
          <w:highlight w:val="none"/>
        </w:rPr>
      </w:pPr>
    </w:p>
    <w:p>
      <w:pPr>
        <w:pStyle w:val="22"/>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bookmarkStart w:id="230" w:name="_GoBack"/>
      <w:bookmarkEnd w:id="230"/>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月</w:t>
      </w: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2"/>
        <w:adjustRightInd w:val="0"/>
        <w:snapToGrid w:val="0"/>
        <w:spacing w:line="240" w:lineRule="atLeast"/>
        <w:jc w:val="center"/>
        <w:rPr>
          <w:rFonts w:ascii="楷体" w:hAnsi="楷体" w:eastAsia="楷体"/>
          <w:bCs/>
          <w:sz w:val="30"/>
          <w:szCs w:val="30"/>
          <w:highlight w:val="none"/>
        </w:rPr>
      </w:pPr>
    </w:p>
    <w:p>
      <w:pPr>
        <w:pStyle w:val="22"/>
        <w:adjustRightInd w:val="0"/>
        <w:snapToGrid w:val="0"/>
        <w:spacing w:line="240" w:lineRule="atLeast"/>
        <w:jc w:val="center"/>
        <w:rPr>
          <w:rFonts w:ascii="楷体" w:hAnsi="楷体" w:eastAsia="楷体"/>
          <w:bCs/>
          <w:sz w:val="30"/>
          <w:szCs w:val="30"/>
          <w:highlight w:val="none"/>
        </w:rPr>
      </w:pPr>
    </w:p>
    <w:p>
      <w:pPr>
        <w:pStyle w:val="22"/>
        <w:adjustRightInd w:val="0"/>
        <w:snapToGrid w:val="0"/>
        <w:spacing w:line="240" w:lineRule="atLeast"/>
        <w:jc w:val="center"/>
        <w:rPr>
          <w:rFonts w:ascii="楷体" w:hAnsi="楷体" w:eastAsia="楷体"/>
          <w:bCs/>
          <w:sz w:val="30"/>
          <w:szCs w:val="30"/>
          <w:highlight w:val="none"/>
        </w:rPr>
      </w:pPr>
    </w:p>
    <w:p>
      <w:pPr>
        <w:pStyle w:val="4"/>
        <w:keepNext w:val="0"/>
        <w:keepLines w:val="0"/>
        <w:adjustRightInd w:val="0"/>
        <w:snapToGrid w:val="0"/>
        <w:spacing w:line="560" w:lineRule="exact"/>
        <w:jc w:val="center"/>
        <w:rPr>
          <w:rFonts w:hint="eastAsia"/>
          <w:b w:val="0"/>
          <w:szCs w:val="44"/>
          <w:highlight w:val="none"/>
          <w:lang w:val="zh-CN"/>
        </w:rPr>
        <w:sectPr>
          <w:headerReference r:id="rId3" w:type="default"/>
          <w:footerReference r:id="rId4" w:type="default"/>
          <w:pgSz w:w="11906" w:h="16838"/>
          <w:pgMar w:top="1418" w:right="991" w:bottom="1418" w:left="1418" w:header="851" w:footer="851" w:gutter="0"/>
          <w:pgNumType w:fmt="decimal"/>
          <w:cols w:space="720" w:num="1"/>
          <w:docGrid w:linePitch="388" w:charSpace="-1260"/>
        </w:sectPr>
      </w:pPr>
    </w:p>
    <w:p>
      <w:pPr>
        <w:pStyle w:val="4"/>
        <w:keepNext w:val="0"/>
        <w:keepLines w:val="0"/>
        <w:adjustRightInd w:val="0"/>
        <w:snapToGrid w:val="0"/>
        <w:spacing w:line="560" w:lineRule="exact"/>
        <w:jc w:val="center"/>
        <w:rPr>
          <w:rFonts w:ascii="方正小标宋简体"/>
          <w:bCs w:val="0"/>
          <w:szCs w:val="44"/>
          <w:highlight w:val="none"/>
        </w:rPr>
      </w:pP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9</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1</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6</w:t>
          </w:r>
        </w:p>
        <w:bookmarkEnd w:id="11"/>
        <w:p>
          <w:pPr>
            <w:pStyle w:val="21"/>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1"/>
        <w:tabs>
          <w:tab w:val="right" w:leader="dot" w:pos="9344"/>
        </w:tabs>
        <w:ind w:left="-27" w:leftChars="-13"/>
        <w:rPr>
          <w:rFonts w:asciiTheme="minorHAnsi" w:hAnsiTheme="minorHAnsi" w:cstheme="minorBidi"/>
          <w:b w:val="0"/>
          <w:sz w:val="21"/>
          <w:szCs w:val="22"/>
          <w:highlight w:val="none"/>
        </w:rPr>
      </w:pPr>
    </w:p>
    <w:p>
      <w:pPr>
        <w:pStyle w:val="21"/>
        <w:tabs>
          <w:tab w:val="right" w:leader="dot" w:pos="9344"/>
        </w:tabs>
        <w:ind w:left="42" w:leftChars="20"/>
        <w:rPr>
          <w:rFonts w:asciiTheme="minorEastAsia" w:hAnsiTheme="minorEastAsia" w:cstheme="minorBidi"/>
          <w:b w:val="0"/>
          <w:sz w:val="21"/>
          <w:szCs w:val="22"/>
          <w:highlight w:val="none"/>
        </w:rPr>
      </w:pPr>
    </w:p>
    <w:p>
      <w:pPr>
        <w:pStyle w:val="22"/>
        <w:adjustRightInd w:val="0"/>
        <w:snapToGrid w:val="0"/>
        <w:spacing w:line="240" w:lineRule="atLeast"/>
        <w:jc w:val="center"/>
        <w:rPr>
          <w:rFonts w:hAnsi="宋体"/>
          <w:bCs/>
          <w:sz w:val="32"/>
          <w:szCs w:val="32"/>
          <w:highlight w:val="none"/>
        </w:rPr>
        <w:sectPr>
          <w:footerReference r:id="rId5" w:type="default"/>
          <w:pgSz w:w="11906" w:h="16838"/>
          <w:pgMar w:top="1418" w:right="991" w:bottom="1418" w:left="1418" w:header="851" w:footer="851" w:gutter="0"/>
          <w:pgNumType w:fmt="decimal" w:start="1"/>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16" w:name="_Toc128470286"/>
      <w:bookmarkStart w:id="17" w:name="_Toc132191250"/>
      <w:bookmarkStart w:id="18" w:name="_Toc130661169"/>
      <w:bookmarkStart w:id="19" w:name="_Toc130887998"/>
      <w:bookmarkStart w:id="20" w:name="_Toc132186966"/>
      <w:bookmarkStart w:id="21" w:name="_Toc27201"/>
      <w:bookmarkStart w:id="22" w:name="_Toc128154359"/>
      <w:bookmarkStart w:id="23" w:name="_Toc30198"/>
      <w:bookmarkStart w:id="24" w:name="_Toc112768490"/>
      <w:bookmarkStart w:id="25" w:name="_Toc32290"/>
      <w:bookmarkStart w:id="26" w:name="_Toc20311"/>
      <w:bookmarkStart w:id="27" w:name="_Toc112317780"/>
      <w:bookmarkStart w:id="28" w:name="_Toc15622"/>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2"/>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ascii="宋体" w:hAnsi="宋体" w:cs="宋体"/>
                <w:sz w:val="24"/>
                <w:highlight w:val="none"/>
              </w:rPr>
            </w:pPr>
            <w:r>
              <w:rPr>
                <w:rFonts w:hint="eastAsia" w:ascii="宋体" w:hAnsi="宋体" w:cs="宋体"/>
                <w:sz w:val="24"/>
                <w:highlight w:val="none"/>
                <w:u w:val="single"/>
                <w:lang w:val="en-US" w:eastAsia="zh-CN"/>
              </w:rPr>
              <w:t>氮气发生器</w:t>
            </w: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25</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w:t>
            </w:r>
            <w:r>
              <w:rPr>
                <w:rFonts w:hint="eastAsia" w:ascii="宋体" w:hAnsi="宋体"/>
                <w:sz w:val="24"/>
                <w:highlight w:val="none"/>
                <w:lang w:val="en-US" w:eastAsia="zh-CN"/>
              </w:rPr>
              <w:t>5</w:t>
            </w:r>
            <w:r>
              <w:rPr>
                <w:rFonts w:hint="eastAsia" w:ascii="宋体" w:hAnsi="宋体"/>
                <w:sz w:val="24"/>
                <w:highlight w:val="none"/>
              </w:rPr>
              <w:t>份，其中，</w:t>
            </w:r>
            <w:r>
              <w:rPr>
                <w:rFonts w:hint="eastAsia" w:ascii="宋体" w:hAnsi="宋体"/>
                <w:sz w:val="24"/>
                <w:highlight w:val="none"/>
                <w:lang w:val="zh-CN"/>
              </w:rPr>
              <w:t>正本1份，副本</w:t>
            </w:r>
            <w:r>
              <w:rPr>
                <w:rFonts w:hint="eastAsia" w:ascii="宋体" w:hAnsi="宋体"/>
                <w:sz w:val="24"/>
                <w:highlight w:val="none"/>
                <w:lang w:val="en-US" w:eastAsia="zh-CN"/>
              </w:rPr>
              <w:t>4</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4</w:t>
            </w:r>
            <w:r>
              <w:rPr>
                <w:rFonts w:hint="eastAsia" w:ascii="宋体" w:hAnsi="宋体"/>
                <w:b/>
                <w:bCs/>
                <w:sz w:val="24"/>
                <w:highlight w:val="none"/>
                <w:lang w:val="zh-CN"/>
              </w:rPr>
              <w:t>副共</w:t>
            </w:r>
            <w:r>
              <w:rPr>
                <w:rFonts w:hint="eastAsia" w:ascii="宋体" w:hAnsi="宋体"/>
                <w:b/>
                <w:bCs/>
                <w:sz w:val="24"/>
                <w:highlight w:val="none"/>
                <w:lang w:val="en-US" w:eastAsia="zh-CN"/>
              </w:rPr>
              <w:t>5</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highlight w:val="none"/>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none"/>
                <w:lang w:val="en-US" w:eastAsia="zh-CN"/>
              </w:rPr>
              <w:t>¥</w:t>
            </w:r>
            <w:r>
              <w:rPr>
                <w:rFonts w:hint="eastAsia" w:ascii="宋体" w:hAnsi="宋体" w:cs="宋体"/>
                <w:sz w:val="24"/>
                <w:szCs w:val="24"/>
                <w:u w:val="single"/>
                <w:lang w:val="en-US" w:eastAsia="zh-CN"/>
              </w:rPr>
              <w:t>5000</w:t>
            </w:r>
            <w:r>
              <w:rPr>
                <w:rFonts w:hint="eastAsia" w:ascii="宋体" w:hAnsi="宋体" w:cs="宋体"/>
                <w:sz w:val="24"/>
                <w:szCs w:val="24"/>
                <w:u w:val="none"/>
                <w:lang w:val="en-US" w:eastAsia="zh-CN"/>
              </w:rPr>
              <w:t>（大写）</w:t>
            </w:r>
            <w:r>
              <w:rPr>
                <w:rFonts w:hint="eastAsia" w:ascii="宋体" w:hAnsi="宋体" w:cs="宋体"/>
                <w:sz w:val="24"/>
                <w:szCs w:val="24"/>
                <w:u w:val="single"/>
                <w:lang w:val="en-US" w:eastAsia="zh-CN"/>
              </w:rPr>
              <w:t>伍仟</w:t>
            </w:r>
            <w:r>
              <w:rPr>
                <w:rFonts w:hint="eastAsia" w:ascii="宋体" w:hAnsi="宋体" w:cs="宋体"/>
                <w:sz w:val="24"/>
                <w:szCs w:val="24"/>
                <w:u w:val="none"/>
                <w:lang w:val="en-US" w:eastAsia="zh-CN"/>
              </w:rPr>
              <w:t>元整</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并在谈判当日提供1份保函原件，报价时与手持文件（法人资格证明书、法定代表人授权书、授权代表近1年内任意1个月缴纳社保的证明材料）单独提交。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6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5 </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6</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5 </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w:t>
            </w:r>
            <w:r>
              <w:rPr>
                <w:rFonts w:hint="eastAsia" w:ascii="宋体" w:hAnsi="宋体"/>
                <w:sz w:val="24"/>
                <w:highlight w:val="none"/>
                <w:u w:val="single"/>
                <w:lang w:val="en-US" w:eastAsia="zh-CN"/>
              </w:rPr>
              <w:t>招标采购科M层</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6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5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w:t>
            </w:r>
            <w:r>
              <w:rPr>
                <w:rFonts w:hint="eastAsia" w:ascii="宋体" w:hAnsi="宋体"/>
                <w:sz w:val="24"/>
                <w:highlight w:val="none"/>
                <w:u w:val="single"/>
                <w:lang w:val="en-US" w:eastAsia="zh-CN"/>
              </w:rPr>
              <w:t>招标采购科M层</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相同品牌供应商得分或报价相同的规定</w:t>
            </w:r>
          </w:p>
        </w:tc>
        <w:tc>
          <w:tcPr>
            <w:tcW w:w="4350" w:type="dxa"/>
            <w:vAlign w:val="center"/>
          </w:tcPr>
          <w:p>
            <w:pPr>
              <w:adjustRightInd w:val="0"/>
              <w:snapToGrid w:val="0"/>
              <w:spacing w:line="360" w:lineRule="exact"/>
              <w:rPr>
                <w:rFonts w:hint="eastAsia" w:ascii="宋体" w:hAnsi="宋体" w:eastAsia="宋体"/>
                <w:sz w:val="24"/>
                <w:highlight w:val="none"/>
                <w:lang w:eastAsia="zh-CN"/>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470287"/>
      <w:bookmarkStart w:id="32" w:name="_Toc128154360"/>
      <w:r>
        <w:rPr>
          <w:rFonts w:ascii="黑体" w:hAnsi="黑体"/>
          <w:b/>
          <w:sz w:val="28"/>
          <w:szCs w:val="28"/>
          <w:highlight w:val="none"/>
        </w:rPr>
        <w:br w:type="page"/>
      </w:r>
    </w:p>
    <w:p>
      <w:pPr>
        <w:pStyle w:val="5"/>
        <w:spacing w:beforeLines="50" w:afterLines="50" w:line="560" w:lineRule="exact"/>
        <w:rPr>
          <w:rFonts w:ascii="黑体" w:hAnsi="黑体"/>
          <w:b w:val="0"/>
          <w:sz w:val="28"/>
          <w:szCs w:val="28"/>
          <w:highlight w:val="none"/>
        </w:rPr>
      </w:pPr>
      <w:bookmarkStart w:id="33" w:name="_Toc130661170"/>
      <w:bookmarkStart w:id="34" w:name="_Toc132191251"/>
      <w:bookmarkStart w:id="35" w:name="_Toc132186967"/>
      <w:bookmarkStart w:id="36" w:name="_Toc130887999"/>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氮气发生器</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2024-JQ06-W361</w:t>
      </w:r>
      <w:r>
        <w:rPr>
          <w:rFonts w:hint="eastAsia"/>
          <w:bCs/>
          <w:sz w:val="28"/>
          <w:szCs w:val="28"/>
          <w:highlight w:val="none"/>
          <w:u w:val="single"/>
          <w:lang w:val="en-US" w:eastAsia="zh-CN"/>
        </w:rPr>
        <w:t>9</w:t>
      </w:r>
      <w:r>
        <w:rPr>
          <w:rFonts w:hint="eastAsia"/>
          <w:bCs/>
          <w:sz w:val="28"/>
          <w:szCs w:val="28"/>
          <w:highlight w:val="none"/>
          <w:lang w:val="en-US" w:eastAsia="zh-CN"/>
        </w:rPr>
        <w:t xml:space="preserve"> </w:t>
      </w:r>
    </w:p>
    <w:tbl>
      <w:tblPr>
        <w:tblStyle w:val="42"/>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5"/>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5"/>
        <w:spacing w:before="0" w:after="0" w:line="560" w:lineRule="exact"/>
        <w:rPr>
          <w:rFonts w:ascii="黑体" w:hAnsi="黑体"/>
          <w:b w:val="0"/>
          <w:sz w:val="28"/>
          <w:szCs w:val="28"/>
          <w:highlight w:val="none"/>
        </w:rPr>
      </w:pPr>
      <w:r>
        <w:rPr>
          <w:b w:val="0"/>
          <w:highlight w:val="none"/>
        </w:rPr>
        <w:br w:type="page"/>
      </w:r>
      <w:bookmarkStart w:id="37" w:name="_Toc16152"/>
      <w:bookmarkStart w:id="38" w:name="_Toc132191252"/>
      <w:bookmarkStart w:id="39" w:name="_Toc132186968"/>
      <w:bookmarkStart w:id="40" w:name="_Toc128154361"/>
      <w:bookmarkStart w:id="41" w:name="_Toc130661171"/>
      <w:bookmarkStart w:id="42" w:name="_Toc128470288"/>
      <w:bookmarkStart w:id="43" w:name="_Toc130888000"/>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rFonts w:hint="eastAsia" w:eastAsia="宋体"/>
          <w:bCs/>
          <w:sz w:val="28"/>
          <w:szCs w:val="28"/>
          <w:highlight w:val="none"/>
          <w:lang w:eastAsia="zh-CN"/>
        </w:rPr>
      </w:pPr>
      <w:r>
        <w:rPr>
          <w:rFonts w:hint="eastAsia"/>
          <w:bCs/>
          <w:sz w:val="28"/>
          <w:szCs w:val="28"/>
          <w:highlight w:val="none"/>
        </w:rPr>
        <w:t>项目名称：</w:t>
      </w:r>
      <w:r>
        <w:rPr>
          <w:rFonts w:hint="eastAsia"/>
          <w:bCs/>
          <w:sz w:val="28"/>
          <w:szCs w:val="28"/>
          <w:highlight w:val="none"/>
          <w:u w:val="single"/>
          <w:lang w:eastAsia="zh-CN"/>
        </w:rPr>
        <w:t>氮气发生器</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2024-JQ06-W361</w:t>
      </w:r>
      <w:r>
        <w:rPr>
          <w:rFonts w:hint="eastAsia"/>
          <w:bCs/>
          <w:sz w:val="28"/>
          <w:szCs w:val="28"/>
          <w:highlight w:val="none"/>
          <w:u w:val="single"/>
          <w:lang w:val="en-US" w:eastAsia="zh-CN"/>
        </w:rPr>
        <w:t>9</w:t>
      </w:r>
    </w:p>
    <w:tbl>
      <w:tblPr>
        <w:tblStyle w:val="42"/>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5"/>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5"/>
        <w:spacing w:beforeLines="50" w:afterLines="50" w:line="560" w:lineRule="exact"/>
        <w:rPr>
          <w:rFonts w:ascii="黑体" w:hAnsi="黑体"/>
          <w:b w:val="0"/>
          <w:sz w:val="28"/>
          <w:szCs w:val="28"/>
          <w:highlight w:val="none"/>
        </w:rPr>
      </w:pPr>
      <w:r>
        <w:rPr>
          <w:b w:val="0"/>
          <w:highlight w:val="none"/>
        </w:rPr>
        <w:br w:type="page"/>
      </w:r>
      <w:bookmarkStart w:id="44" w:name="_Toc130661172"/>
      <w:bookmarkStart w:id="45" w:name="_Toc132186969"/>
      <w:bookmarkStart w:id="46" w:name="_Toc130888001"/>
      <w:bookmarkStart w:id="47" w:name="_Toc24455"/>
      <w:bookmarkStart w:id="48" w:name="_Toc128470289"/>
      <w:bookmarkStart w:id="49" w:name="_Toc128154362"/>
      <w:bookmarkStart w:id="50" w:name="_Toc132191253"/>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2"/>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5"/>
        <w:spacing w:beforeLines="50" w:afterLines="50" w:line="415" w:lineRule="auto"/>
        <w:rPr>
          <w:rFonts w:hint="eastAsia" w:ascii="黑体" w:hAnsi="黑体"/>
          <w:b w:val="0"/>
          <w:sz w:val="28"/>
          <w:szCs w:val="28"/>
          <w:highlight w:val="none"/>
        </w:rPr>
      </w:pPr>
      <w:bookmarkStart w:id="52" w:name="_Toc128470290"/>
      <w:bookmarkStart w:id="53" w:name="_Toc130888002"/>
      <w:bookmarkStart w:id="54" w:name="_Toc132191254"/>
      <w:bookmarkStart w:id="55" w:name="_Toc128154363"/>
      <w:bookmarkStart w:id="56" w:name="_Toc132186970"/>
      <w:bookmarkStart w:id="57" w:name="_Toc130661173"/>
      <w:r>
        <w:rPr>
          <w:rFonts w:hint="eastAsia" w:ascii="黑体" w:hAnsi="黑体"/>
          <w:b w:val="0"/>
          <w:sz w:val="28"/>
          <w:szCs w:val="28"/>
          <w:highlight w:val="none"/>
        </w:rPr>
        <w:br w:type="page"/>
      </w:r>
    </w:p>
    <w:p>
      <w:pPr>
        <w:pStyle w:val="5"/>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bookmarkEnd w:id="51"/>
      <w:bookmarkEnd w:id="52"/>
      <w:bookmarkEnd w:id="53"/>
      <w:bookmarkEnd w:id="54"/>
      <w:bookmarkEnd w:id="55"/>
      <w:bookmarkEnd w:id="56"/>
      <w:bookmarkEnd w:id="57"/>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2"/>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712"/>
        <w:gridCol w:w="3491"/>
        <w:gridCol w:w="671"/>
        <w:gridCol w:w="28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vMerge w:val="restart"/>
            <w:tcBorders>
              <w:top w:val="single" w:color="auto" w:sz="4" w:space="0"/>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w:t>
            </w:r>
          </w:p>
        </w:tc>
        <w:tc>
          <w:tcPr>
            <w:tcW w:w="834" w:type="dxa"/>
            <w:vMerge w:val="restart"/>
            <w:tcBorders>
              <w:top w:val="single" w:color="auto" w:sz="4" w:space="0"/>
              <w:left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b/>
                <w:bCs/>
              </w:rPr>
            </w:pPr>
            <w:r>
              <w:rPr>
                <w:rFonts w:hint="eastAsia"/>
                <w:b/>
                <w:bCs/>
                <w:sz w:val="20"/>
                <w:szCs w:val="20"/>
                <w:lang w:val="en-US" w:eastAsia="zh-CN"/>
              </w:rPr>
              <w:t>1.</w:t>
            </w:r>
            <w:r>
              <w:rPr>
                <w:rFonts w:hint="eastAsia"/>
                <w:b/>
                <w:bCs/>
                <w:sz w:val="20"/>
                <w:szCs w:val="20"/>
                <w:lang w:eastAsia="zh-CN"/>
              </w:rPr>
              <w:t>可以量化排名的▲号、</w:t>
            </w:r>
            <w:r>
              <w:rPr>
                <w:rFonts w:hint="eastAsia"/>
                <w:b/>
                <w:bCs/>
                <w:sz w:val="20"/>
                <w:szCs w:val="20"/>
                <w:lang w:val="en-US" w:eastAsia="zh-CN"/>
              </w:rPr>
              <w:t>无标识项</w:t>
            </w:r>
            <w:r>
              <w:rPr>
                <w:rFonts w:hint="eastAsia"/>
                <w:b/>
                <w:bCs/>
                <w:sz w:val="20"/>
                <w:szCs w:val="20"/>
                <w:lang w:eastAsia="zh-CN"/>
              </w:rPr>
              <w:t>指标的正偏离评分规则：按偏离程度由高到低排名，排名第一得标准分值，排名第二按标准分值的25%递减得分，依此类推，</w:t>
            </w:r>
            <w:r>
              <w:rPr>
                <w:rFonts w:hint="eastAsia"/>
                <w:b/>
                <w:bCs/>
              </w:rPr>
              <w:t>（技术指标负偏离不参与排名，为0分。）</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rPr>
            </w:pPr>
            <w:r>
              <w:rPr>
                <w:rFonts w:hint="eastAsia"/>
                <w:sz w:val="20"/>
                <w:szCs w:val="20"/>
                <w:lang w:eastAsia="zh-CN"/>
              </w:rPr>
              <w:t>（三分之二以上技术专家认定正偏离对产品性能没有实质意义的指标值，可以不列入排名，得分一致，但须备注：正偏离无实质意义）</w:t>
            </w:r>
          </w:p>
          <w:p>
            <w:pPr>
              <w:spacing w:line="300" w:lineRule="exact"/>
              <w:rPr>
                <w:rFonts w:hint="eastAsia" w:asciiTheme="minorEastAsia" w:hAnsiTheme="minorEastAsia" w:eastAsiaTheme="minorEastAsia" w:cstheme="minorEastAsia"/>
                <w:sz w:val="22"/>
                <w:szCs w:val="22"/>
                <w:highlight w:val="none"/>
                <w:lang w:eastAsia="zh-CN"/>
              </w:rPr>
            </w:pPr>
          </w:p>
        </w:tc>
        <w:tc>
          <w:tcPr>
            <w:tcW w:w="2837" w:type="dxa"/>
            <w:vMerge w:val="restart"/>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报价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41" w:hRule="atLeast"/>
          <w:jc w:val="center"/>
        </w:trPr>
        <w:tc>
          <w:tcPr>
            <w:tcW w:w="739" w:type="dxa"/>
            <w:vMerge w:val="continue"/>
            <w:tcBorders>
              <w:right w:val="single" w:color="auto" w:sz="4" w:space="0"/>
            </w:tcBorders>
            <w:vAlign w:val="center"/>
          </w:tcPr>
          <w:p>
            <w:pPr>
              <w:spacing w:line="300" w:lineRule="exact"/>
              <w:ind w:firstLine="420" w:firstLineChars="200"/>
              <w:jc w:val="left"/>
            </w:pPr>
          </w:p>
        </w:tc>
        <w:tc>
          <w:tcPr>
            <w:tcW w:w="846" w:type="dxa"/>
            <w:vMerge w:val="continue"/>
            <w:tcBorders>
              <w:left w:val="single" w:color="auto" w:sz="4" w:space="0"/>
              <w:right w:val="single" w:color="auto" w:sz="4" w:space="0"/>
            </w:tcBorders>
            <w:vAlign w:val="center"/>
          </w:tcPr>
          <w:p>
            <w:pPr>
              <w:spacing w:line="300" w:lineRule="exact"/>
              <w:ind w:firstLine="420" w:firstLineChars="200"/>
              <w:jc w:val="left"/>
            </w:pPr>
          </w:p>
        </w:tc>
        <w:tc>
          <w:tcPr>
            <w:tcW w:w="834" w:type="dxa"/>
            <w:vMerge w:val="continue"/>
            <w:tcBorders>
              <w:left w:val="single" w:color="auto" w:sz="4" w:space="0"/>
              <w:right w:val="single" w:color="auto" w:sz="4" w:space="0"/>
            </w:tcBorders>
            <w:vAlign w:val="center"/>
          </w:tcPr>
          <w:p>
            <w:pPr>
              <w:spacing w:line="300" w:lineRule="exact"/>
              <w:ind w:firstLine="420" w:firstLineChars="200"/>
              <w:jc w:val="left"/>
            </w:pPr>
          </w:p>
        </w:tc>
        <w:tc>
          <w:tcPr>
            <w:tcW w:w="712" w:type="dxa"/>
            <w:vMerge w:val="restart"/>
            <w:tcBorders>
              <w:top w:val="single" w:color="auto" w:sz="4" w:space="0"/>
              <w:left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lang w:eastAsia="zh-CN"/>
              </w:rPr>
            </w:pPr>
            <w:r>
              <w:rPr>
                <w:rFonts w:hint="eastAsia" w:ascii="宋体" w:hAnsi="宋体" w:cs="宋体"/>
                <w:sz w:val="20"/>
                <w:szCs w:val="20"/>
                <w:highlight w:val="none"/>
                <w:lang w:eastAsia="zh-CN"/>
              </w:rPr>
              <w:t>可量化项（</w:t>
            </w:r>
            <w:r>
              <w:rPr>
                <w:rFonts w:hint="eastAsia" w:ascii="宋体" w:hAnsi="宋体" w:cs="宋体"/>
                <w:sz w:val="20"/>
                <w:szCs w:val="20"/>
                <w:highlight w:val="none"/>
                <w:lang w:val="en-US" w:eastAsia="zh-CN"/>
              </w:rPr>
              <w:t>10</w:t>
            </w:r>
            <w:r>
              <w:rPr>
                <w:rFonts w:hint="eastAsia" w:asciiTheme="minorEastAsia" w:hAnsiTheme="minorEastAsia" w:eastAsiaTheme="minorEastAsia" w:cstheme="minorEastAsia"/>
                <w:sz w:val="22"/>
                <w:szCs w:val="22"/>
                <w:highlight w:val="none"/>
                <w:lang w:val="en-US" w:eastAsia="zh-CN"/>
              </w:rPr>
              <w:t>分</w:t>
            </w:r>
            <w:r>
              <w:rPr>
                <w:rFonts w:hint="eastAsia" w:ascii="宋体" w:hAnsi="宋体" w:cs="宋体"/>
                <w:sz w:val="20"/>
                <w:szCs w:val="20"/>
                <w:highlight w:val="none"/>
                <w:lang w:eastAsia="zh-CN"/>
              </w:rPr>
              <w:t>）</w:t>
            </w:r>
          </w:p>
        </w:tc>
        <w:tc>
          <w:tcPr>
            <w:tcW w:w="349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lang w:val="en-US"/>
              </w:rPr>
            </w:pPr>
            <w:r>
              <w:rPr>
                <w:rFonts w:hint="eastAsia" w:asciiTheme="minorEastAsia" w:hAnsiTheme="minorEastAsia" w:eastAsiaTheme="minorEastAsia" w:cstheme="minorEastAsia"/>
                <w:kern w:val="2"/>
                <w:sz w:val="20"/>
                <w:szCs w:val="20"/>
                <w:highlight w:val="none"/>
                <w:lang w:val="zh-CN" w:eastAsia="zh-CN" w:bidi="ar-SA"/>
              </w:rPr>
              <w:t>▲</w:t>
            </w:r>
            <w:r>
              <w:rPr>
                <w:rFonts w:hint="eastAsia" w:asciiTheme="minorEastAsia" w:hAnsiTheme="minorEastAsia" w:eastAsiaTheme="minorEastAsia" w:cstheme="minorEastAsia"/>
                <w:kern w:val="2"/>
                <w:sz w:val="20"/>
                <w:szCs w:val="20"/>
                <w:highlight w:val="none"/>
                <w:lang w:val="en-US" w:eastAsia="zh-CN" w:bidi="ar-SA"/>
              </w:rPr>
              <w:t>6氮气流量：（100-120）升/分钟</w:t>
            </w:r>
          </w:p>
        </w:tc>
        <w:tc>
          <w:tcPr>
            <w:tcW w:w="6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eastAsia="宋体"/>
                <w:lang w:val="en-US" w:eastAsia="zh-CN"/>
              </w:rPr>
            </w:pPr>
            <w:r>
              <w:rPr>
                <w:rFonts w:hint="eastAsia"/>
                <w:lang w:val="en-US" w:eastAsia="zh-CN"/>
              </w:rPr>
              <w:t>4分</w:t>
            </w:r>
          </w:p>
        </w:tc>
        <w:tc>
          <w:tcPr>
            <w:tcW w:w="2837"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95" w:hRule="atLeast"/>
          <w:jc w:val="center"/>
        </w:trPr>
        <w:tc>
          <w:tcPr>
            <w:tcW w:w="739" w:type="dxa"/>
            <w:vMerge w:val="continue"/>
            <w:tcBorders>
              <w:right w:val="single" w:color="auto" w:sz="4" w:space="0"/>
            </w:tcBorders>
            <w:vAlign w:val="center"/>
          </w:tcPr>
          <w:p>
            <w:pPr>
              <w:keepNext w:val="0"/>
              <w:keepLines w:val="0"/>
              <w:widowControl/>
              <w:suppressLineNumbers w:val="0"/>
              <w:jc w:val="left"/>
              <w:textAlignment w:val="center"/>
            </w:pPr>
          </w:p>
        </w:tc>
        <w:tc>
          <w:tcPr>
            <w:tcW w:w="846"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834"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712"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349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sz w:val="18"/>
                <w:szCs w:val="21"/>
                <w:lang w:val="en-US"/>
              </w:rPr>
            </w:pPr>
            <w:r>
              <w:rPr>
                <w:rFonts w:hint="eastAsia" w:asciiTheme="minorEastAsia" w:hAnsiTheme="minorEastAsia" w:eastAsiaTheme="minorEastAsia" w:cstheme="minorEastAsia"/>
                <w:kern w:val="2"/>
                <w:sz w:val="20"/>
                <w:szCs w:val="20"/>
                <w:highlight w:val="none"/>
                <w:lang w:val="zh-CN" w:eastAsia="zh-CN" w:bidi="ar-SA"/>
              </w:rPr>
              <w:t>▲</w:t>
            </w:r>
            <w:r>
              <w:rPr>
                <w:rFonts w:hint="eastAsia" w:asciiTheme="minorEastAsia" w:hAnsiTheme="minorEastAsia" w:eastAsiaTheme="minorEastAsia" w:cstheme="minorEastAsia"/>
                <w:kern w:val="2"/>
                <w:sz w:val="20"/>
                <w:szCs w:val="20"/>
                <w:highlight w:val="none"/>
                <w:lang w:val="en-US" w:eastAsia="zh-CN" w:bidi="ar-SA"/>
              </w:rPr>
              <w:t>7气体纯度：97%-99.9%</w:t>
            </w:r>
          </w:p>
        </w:tc>
        <w:tc>
          <w:tcPr>
            <w:tcW w:w="6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eastAsia="宋体"/>
                <w:lang w:val="en-US" w:eastAsia="zh-CN"/>
              </w:rPr>
            </w:pPr>
            <w:r>
              <w:rPr>
                <w:rFonts w:hint="eastAsia"/>
                <w:lang w:val="en-US" w:eastAsia="zh-CN"/>
              </w:rPr>
              <w:t>4分</w:t>
            </w:r>
          </w:p>
        </w:tc>
        <w:tc>
          <w:tcPr>
            <w:tcW w:w="283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32" w:hRule="atLeast"/>
          <w:jc w:val="center"/>
        </w:trPr>
        <w:tc>
          <w:tcPr>
            <w:tcW w:w="739" w:type="dxa"/>
            <w:vMerge w:val="continue"/>
            <w:tcBorders>
              <w:right w:val="single" w:color="auto" w:sz="4" w:space="0"/>
            </w:tcBorders>
            <w:vAlign w:val="center"/>
          </w:tcPr>
          <w:p>
            <w:pPr>
              <w:keepNext w:val="0"/>
              <w:keepLines w:val="0"/>
              <w:widowControl/>
              <w:suppressLineNumbers w:val="0"/>
              <w:jc w:val="left"/>
              <w:textAlignment w:val="center"/>
            </w:pPr>
          </w:p>
        </w:tc>
        <w:tc>
          <w:tcPr>
            <w:tcW w:w="846"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834"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c>
          <w:tcPr>
            <w:tcW w:w="71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pPr>
          </w:p>
        </w:tc>
        <w:tc>
          <w:tcPr>
            <w:tcW w:w="349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eastAsia="宋体"/>
                <w:sz w:val="18"/>
                <w:szCs w:val="21"/>
                <w:lang w:val="en-US" w:eastAsia="zh-CN"/>
              </w:rPr>
            </w:pPr>
            <w:r>
              <w:rPr>
                <w:rFonts w:hint="eastAsia"/>
                <w:sz w:val="18"/>
                <w:szCs w:val="21"/>
                <w:lang w:val="en-US" w:eastAsia="zh-CN"/>
              </w:rPr>
              <w:t>8出口压力范围：（1-110）psi</w:t>
            </w:r>
          </w:p>
        </w:tc>
        <w:tc>
          <w:tcPr>
            <w:tcW w:w="6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eastAsia="宋体"/>
                <w:lang w:val="en-US" w:eastAsia="zh-CN"/>
              </w:rPr>
            </w:pPr>
            <w:r>
              <w:rPr>
                <w:rFonts w:hint="eastAsia"/>
                <w:lang w:val="en-US" w:eastAsia="zh-CN"/>
              </w:rPr>
              <w:t>2分</w:t>
            </w:r>
          </w:p>
        </w:tc>
        <w:tc>
          <w:tcPr>
            <w:tcW w:w="283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continue"/>
            <w:tcBorders>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71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lang w:eastAsia="zh-CN"/>
              </w:rPr>
            </w:pPr>
            <w:r>
              <w:rPr>
                <w:rFonts w:hint="eastAsia"/>
                <w:lang w:eastAsia="zh-CN"/>
              </w:rPr>
              <w:t>不可量化项</w:t>
            </w:r>
          </w:p>
          <w:p>
            <w:pPr>
              <w:spacing w:line="300" w:lineRule="exact"/>
              <w:jc w:val="center"/>
              <w:rPr>
                <w:rFonts w:hint="eastAsia" w:asciiTheme="minorEastAsia" w:hAnsiTheme="minorEastAsia" w:eastAsiaTheme="minorEastAsia" w:cstheme="minorEastAsia"/>
                <w:sz w:val="22"/>
                <w:szCs w:val="22"/>
                <w:highlight w:val="none"/>
                <w:lang w:eastAsia="zh-CN"/>
              </w:rPr>
            </w:pPr>
            <w:r>
              <w:rPr>
                <w:rFonts w:hint="eastAsia" w:ascii="宋体" w:hAnsi="宋体" w:cs="宋体"/>
                <w:sz w:val="20"/>
                <w:szCs w:val="20"/>
                <w:highlight w:val="none"/>
                <w:lang w:val="en-US" w:eastAsia="zh-CN"/>
              </w:rPr>
              <w:t>（30分）</w:t>
            </w:r>
          </w:p>
        </w:tc>
        <w:tc>
          <w:tcPr>
            <w:tcW w:w="4162" w:type="dxa"/>
            <w:gridSpan w:val="2"/>
            <w:tcBorders>
              <w:top w:val="single" w:color="auto" w:sz="4" w:space="0"/>
              <w:left w:val="single" w:color="auto" w:sz="4" w:space="0"/>
              <w:bottom w:val="single" w:color="auto" w:sz="4" w:space="0"/>
              <w:right w:val="single" w:color="auto" w:sz="4" w:space="0"/>
            </w:tcBorders>
            <w:vAlign w:val="center"/>
          </w:tcPr>
          <w:p>
            <w:pPr>
              <w:pStyle w:val="2"/>
              <w:numPr>
                <w:ilvl w:val="0"/>
                <w:numId w:val="0"/>
              </w:numPr>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en-US" w:eastAsia="zh-CN" w:bidi="ar-SA"/>
              </w:rPr>
              <w:t>1.技术要求全部满足得30</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均不再设正偏离。</w:t>
            </w:r>
          </w:p>
          <w:p>
            <w:pPr>
              <w:pStyle w:val="2"/>
              <w:numPr>
                <w:ilvl w:val="0"/>
                <w:numId w:val="0"/>
              </w:numP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技术参数中</w:t>
            </w:r>
            <w:r>
              <w:rPr>
                <w:rFonts w:hint="eastAsia" w:asciiTheme="minorEastAsia" w:hAnsiTheme="minorEastAsia" w:eastAsiaTheme="minorEastAsia" w:cstheme="minorEastAsia"/>
                <w:kern w:val="2"/>
                <w:sz w:val="22"/>
                <w:szCs w:val="22"/>
                <w:highlight w:val="none"/>
                <w:lang w:val="en-US" w:eastAsia="zh-CN" w:bidi="ar-SA"/>
              </w:rPr>
              <w:t>8</w:t>
            </w:r>
            <w:r>
              <w:rPr>
                <w:rFonts w:hint="eastAsia" w:asciiTheme="minorEastAsia" w:hAnsiTheme="minorEastAsia" w:eastAsiaTheme="minorEastAsia" w:cstheme="minorEastAsia"/>
                <w:kern w:val="2"/>
                <w:sz w:val="22"/>
                <w:szCs w:val="22"/>
                <w:highlight w:val="none"/>
                <w:lang w:val="zh-CN" w:eastAsia="zh-CN" w:bidi="ar-SA"/>
              </w:rPr>
              <w:t>项“▲”技术指标，每项负偏离扣</w:t>
            </w:r>
            <w:r>
              <w:rPr>
                <w:rFonts w:hint="eastAsia" w:asciiTheme="minorEastAsia" w:hAnsiTheme="minorEastAsia" w:eastAsiaTheme="minorEastAsia" w:cstheme="minorEastAsia"/>
                <w:kern w:val="2"/>
                <w:sz w:val="22"/>
                <w:szCs w:val="22"/>
                <w:highlight w:val="none"/>
                <w:lang w:val="en-US" w:eastAsia="zh-CN" w:bidi="ar-SA"/>
              </w:rPr>
              <w:t>3</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5</w:t>
            </w:r>
            <w:r>
              <w:rPr>
                <w:rFonts w:hint="eastAsia" w:asciiTheme="minorEastAsia" w:hAnsiTheme="minorEastAsia" w:eastAsiaTheme="minorEastAsia" w:cstheme="minorEastAsia"/>
                <w:kern w:val="2"/>
                <w:sz w:val="22"/>
                <w:szCs w:val="22"/>
                <w:highlight w:val="none"/>
                <w:lang w:val="zh-CN" w:eastAsia="zh-CN" w:bidi="ar-SA"/>
              </w:rPr>
              <w:t>项“无标识”技术指标，每项负偏离扣</w:t>
            </w:r>
            <w:r>
              <w:rPr>
                <w:rFonts w:hint="eastAsia" w:asciiTheme="minorEastAsia" w:hAnsiTheme="minorEastAsia" w:eastAsiaTheme="minorEastAsia" w:cstheme="minorEastAsia"/>
                <w:kern w:val="2"/>
                <w:sz w:val="22"/>
                <w:szCs w:val="22"/>
                <w:highlight w:val="none"/>
                <w:lang w:val="en-US" w:eastAsia="zh-CN" w:bidi="ar-SA"/>
              </w:rPr>
              <w:t>1.2</w:t>
            </w:r>
            <w:r>
              <w:rPr>
                <w:rFonts w:hint="eastAsia" w:asciiTheme="minorEastAsia" w:hAnsiTheme="minorEastAsia" w:eastAsiaTheme="minorEastAsia" w:cstheme="minorEastAsia"/>
                <w:kern w:val="2"/>
                <w:sz w:val="22"/>
                <w:szCs w:val="22"/>
                <w:highlight w:val="none"/>
                <w:lang w:val="zh-CN" w:eastAsia="zh-CN" w:bidi="ar-SA"/>
              </w:rPr>
              <w:t>分。</w:t>
            </w:r>
          </w:p>
          <w:p>
            <w:pPr>
              <w:spacing w:line="300" w:lineRule="exact"/>
              <w:jc w:val="center"/>
            </w:pPr>
          </w:p>
        </w:tc>
        <w:tc>
          <w:tcPr>
            <w:tcW w:w="2837"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continue"/>
            <w:tcBorders>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4874" w:type="dxa"/>
            <w:gridSpan w:val="3"/>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left"/>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numPr>
                <w:ilvl w:val="0"/>
                <w:numId w:val="0"/>
              </w:numPr>
              <w:spacing w:line="300" w:lineRule="exact"/>
              <w:ind w:left="0" w:leftChars="0" w:firstLine="0" w:firstLineChars="0"/>
              <w:jc w:val="left"/>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b/>
                <w:bCs/>
                <w:sz w:val="22"/>
                <w:szCs w:val="22"/>
                <w:highlight w:val="none"/>
                <w:lang w:val="en-US" w:eastAsia="zh-CN"/>
              </w:rPr>
              <w:t>2</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kern w:val="2"/>
                <w:sz w:val="22"/>
                <w:szCs w:val="22"/>
                <w:highlight w:val="none"/>
                <w:lang w:val="zh-CN" w:eastAsia="zh-CN" w:bidi="ar-SA"/>
              </w:rPr>
              <w:t>▲标识的指标负偏离≥</w:t>
            </w:r>
            <w:r>
              <w:rPr>
                <w:rFonts w:hint="eastAsia" w:asciiTheme="minorEastAsia" w:hAnsiTheme="minorEastAsia" w:eastAsiaTheme="minorEastAsia" w:cstheme="minorEastAsia"/>
                <w:b/>
                <w:bCs/>
                <w:kern w:val="2"/>
                <w:sz w:val="22"/>
                <w:szCs w:val="22"/>
                <w:highlight w:val="none"/>
                <w:lang w:val="en-US" w:eastAsia="zh-CN" w:bidi="ar-SA"/>
              </w:rPr>
              <w:t>5</w:t>
            </w:r>
            <w:r>
              <w:rPr>
                <w:rFonts w:hint="eastAsia" w:asciiTheme="minorEastAsia" w:hAnsiTheme="minorEastAsia" w:eastAsiaTheme="minorEastAsia" w:cstheme="minorEastAsia"/>
                <w:b/>
                <w:bCs/>
                <w:kern w:val="2"/>
                <w:sz w:val="22"/>
                <w:szCs w:val="22"/>
                <w:highlight w:val="none"/>
                <w:lang w:val="zh-CN" w:eastAsia="zh-CN" w:bidi="ar-SA"/>
              </w:rPr>
              <w:t>项，技术评审中，</w:t>
            </w:r>
            <w:r>
              <w:rPr>
                <w:rFonts w:hint="eastAsia" w:asciiTheme="minorEastAsia" w:hAnsiTheme="minorEastAsia" w:eastAsiaTheme="minorEastAsia" w:cstheme="minorEastAsia"/>
                <w:b/>
                <w:bCs/>
                <w:sz w:val="22"/>
                <w:szCs w:val="22"/>
                <w:highlight w:val="none"/>
                <w:lang w:val="en-US" w:eastAsia="zh-CN"/>
              </w:rPr>
              <w:t>“参数指标正负偏离情况”为0分</w:t>
            </w:r>
            <w:r>
              <w:rPr>
                <w:rFonts w:hint="eastAsia" w:asciiTheme="minorEastAsia" w:hAnsiTheme="minorEastAsia" w:eastAsiaTheme="minorEastAsia" w:cstheme="minorEastAsia"/>
                <w:b/>
                <w:bCs/>
                <w:sz w:val="22"/>
                <w:szCs w:val="22"/>
                <w:highlight w:val="none"/>
                <w:lang w:val="zh-CN" w:eastAsia="zh-CN"/>
              </w:rPr>
              <w:t>；</w:t>
            </w:r>
            <w:r>
              <w:rPr>
                <w:rFonts w:hint="eastAsia" w:asciiTheme="minorEastAsia" w:hAnsiTheme="minorEastAsia" w:eastAsiaTheme="minorEastAsia" w:cstheme="minorEastAsia"/>
                <w:b/>
                <w:bCs/>
                <w:kern w:val="2"/>
                <w:sz w:val="22"/>
                <w:szCs w:val="22"/>
                <w:highlight w:val="none"/>
                <w:lang w:val="zh-CN" w:eastAsia="zh-CN" w:bidi="ar-SA"/>
              </w:rPr>
              <w:t>▲标识的指标和“无标识”指标负偏离≥</w:t>
            </w:r>
            <w:r>
              <w:rPr>
                <w:rFonts w:hint="eastAsia" w:asciiTheme="minorEastAsia" w:hAnsiTheme="minorEastAsia" w:eastAsiaTheme="minorEastAsia" w:cstheme="minorEastAsia"/>
                <w:b/>
                <w:bCs/>
                <w:kern w:val="2"/>
                <w:sz w:val="22"/>
                <w:szCs w:val="22"/>
                <w:highlight w:val="none"/>
                <w:lang w:val="en-US" w:eastAsia="zh-CN" w:bidi="ar-SA"/>
              </w:rPr>
              <w:t>10</w:t>
            </w:r>
            <w:r>
              <w:rPr>
                <w:rFonts w:hint="eastAsia" w:asciiTheme="minorEastAsia" w:hAnsiTheme="minorEastAsia" w:eastAsiaTheme="minorEastAsia" w:cstheme="minorEastAsia"/>
                <w:b/>
                <w:bCs/>
                <w:kern w:val="2"/>
                <w:sz w:val="22"/>
                <w:szCs w:val="22"/>
                <w:highlight w:val="none"/>
                <w:lang w:val="zh-CN" w:eastAsia="zh-CN" w:bidi="ar-SA"/>
              </w:rPr>
              <w:t>项，技术评审中，</w:t>
            </w:r>
            <w:r>
              <w:rPr>
                <w:rFonts w:hint="eastAsia" w:asciiTheme="minorEastAsia" w:hAnsiTheme="minorEastAsia" w:eastAsiaTheme="minorEastAsia" w:cstheme="minorEastAsia"/>
                <w:b/>
                <w:bCs/>
                <w:sz w:val="22"/>
                <w:szCs w:val="22"/>
                <w:highlight w:val="none"/>
                <w:lang w:val="en-US" w:eastAsia="zh-CN"/>
              </w:rPr>
              <w:t>“参数指标正负偏离情况”为0分。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pStyle w:val="2"/>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1分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rPr>
              <w:t>1分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837"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人须如实填写，并须国家药品监督管理局官网截图同时生产厂家承诺并加盖生产厂家及</w:t>
            </w:r>
            <w:r>
              <w:rPr>
                <w:rFonts w:hint="eastAsia" w:asciiTheme="minorEastAsia" w:hAnsiTheme="minorEastAsia" w:eastAsiaTheme="minorEastAsia" w:cstheme="minorEastAsia"/>
                <w:sz w:val="22"/>
                <w:szCs w:val="22"/>
                <w:highlight w:val="none"/>
                <w:lang w:eastAsia="zh-CN"/>
              </w:rPr>
              <w:t>报价人</w:t>
            </w:r>
            <w:r>
              <w:rPr>
                <w:rFonts w:hint="eastAsia" w:asciiTheme="minorEastAsia" w:hAnsiTheme="minorEastAsia" w:eastAsiaTheme="minorEastAsia" w:cstheme="minorEastAsia"/>
                <w:sz w:val="22"/>
                <w:szCs w:val="22"/>
                <w:highlight w:val="none"/>
              </w:rPr>
              <w:t>公章，有1项扣3分。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widowControl/>
        <w:jc w:val="left"/>
        <w:rPr>
          <w:rFonts w:ascii="黑体" w:hAnsi="黑体" w:eastAsia="黑体"/>
          <w:bCs/>
          <w:sz w:val="36"/>
          <w:szCs w:val="36"/>
          <w:highlight w:val="none"/>
        </w:rPr>
      </w:pPr>
      <w:r>
        <w:rPr>
          <w:rFonts w:ascii="黑体" w:hAnsi="黑体" w:eastAsia="黑体"/>
          <w:bCs/>
          <w:sz w:val="36"/>
          <w:szCs w:val="36"/>
          <w:highlight w:val="none"/>
        </w:rPr>
        <w:br w:type="page"/>
      </w:r>
    </w:p>
    <w:p>
      <w:pPr>
        <w:pStyle w:val="5"/>
        <w:spacing w:beforeLines="50" w:afterLines="50" w:line="415" w:lineRule="auto"/>
        <w:rPr>
          <w:rFonts w:ascii="黑体" w:hAnsi="黑体"/>
          <w:b w:val="0"/>
          <w:sz w:val="28"/>
          <w:szCs w:val="28"/>
          <w:highlight w:val="none"/>
        </w:rPr>
      </w:pPr>
      <w:bookmarkStart w:id="58" w:name="_Toc130888003"/>
      <w:bookmarkStart w:id="59" w:name="_Toc128154364"/>
      <w:bookmarkStart w:id="60" w:name="_Toc130661174"/>
      <w:bookmarkStart w:id="61" w:name="_Toc132186971"/>
      <w:bookmarkStart w:id="62" w:name="_Toc128470291"/>
      <w:bookmarkStart w:id="63" w:name="_Toc132191255"/>
      <w:bookmarkStart w:id="64" w:name="_Toc6896"/>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2"/>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40分）</w:t>
            </w:r>
          </w:p>
          <w:p>
            <w:pPr>
              <w:widowControl/>
              <w:numPr>
                <w:ilvl w:val="0"/>
                <w:numId w:val="0"/>
              </w:numPr>
              <w:snapToGrid w:val="0"/>
              <w:spacing w:line="276" w:lineRule="auto"/>
              <w:jc w:val="left"/>
              <w:rPr>
                <w:rFonts w:hint="default"/>
                <w:color w:val="auto"/>
                <w:highlight w:val="none"/>
                <w:lang w:val="en-US" w:eastAsia="zh-CN"/>
              </w:rPr>
            </w:pP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eastAsia" w:ascii="宋体" w:hAnsi="宋体"/>
                <w:bCs/>
                <w:color w:val="auto"/>
                <w:sz w:val="24"/>
                <w:highlight w:val="none"/>
                <w:lang w:val="en-US" w:eastAsia="zh-CN"/>
              </w:rPr>
              <w:t>设备价格报价最低为基准值</w:t>
            </w:r>
          </w:p>
        </w:tc>
      </w:tr>
    </w:tbl>
    <w:p>
      <w:pPr>
        <w:pStyle w:val="17"/>
        <w:rPr>
          <w:rFonts w:hint="eastAsia"/>
          <w:color w:val="FF0000"/>
          <w:highlight w:val="none"/>
          <w:lang w:val="en-US" w:eastAsia="zh-CN"/>
        </w:rPr>
      </w:pPr>
    </w:p>
    <w:p>
      <w:pPr>
        <w:pStyle w:val="17"/>
        <w:rPr>
          <w:rFonts w:hint="eastAsia"/>
          <w:color w:val="FF0000"/>
          <w:highlight w:val="none"/>
          <w:lang w:val="en-US" w:eastAsia="zh-CN"/>
        </w:rPr>
      </w:pPr>
    </w:p>
    <w:p>
      <w:pPr>
        <w:pStyle w:val="17"/>
        <w:rPr>
          <w:rFonts w:hint="eastAsia"/>
          <w:color w:val="FF0000"/>
          <w:highlight w:val="none"/>
          <w:lang w:val="en-US" w:eastAsia="zh-CN"/>
        </w:rPr>
      </w:pPr>
    </w:p>
    <w:p>
      <w:pPr>
        <w:pStyle w:val="17"/>
        <w:rPr>
          <w:rFonts w:hint="eastAsia"/>
          <w:highlight w:val="none"/>
          <w:lang w:val="en-US" w:eastAsia="zh-CN"/>
        </w:rPr>
        <w:sectPr>
          <w:headerReference r:id="rId6" w:type="default"/>
          <w:footerReference r:id="rId7" w:type="default"/>
          <w:pgSz w:w="11906" w:h="16838"/>
          <w:pgMar w:top="1418" w:right="1134" w:bottom="1418" w:left="1418" w:header="851" w:footer="851" w:gutter="0"/>
          <w:pgNumType w:fmt="decimal" w:start="72"/>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65" w:name="_Toc128154365"/>
      <w:bookmarkStart w:id="66" w:name="_Toc28382"/>
      <w:bookmarkStart w:id="67" w:name="_Toc128470292"/>
      <w:bookmarkStart w:id="68" w:name="_Toc132186972"/>
      <w:bookmarkStart w:id="69" w:name="_Toc130888004"/>
      <w:bookmarkStart w:id="70" w:name="_Toc132191256"/>
      <w:bookmarkStart w:id="71" w:name="_Toc130661175"/>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2"/>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val="en-US" w:eastAsia="zh-CN"/>
        </w:rPr>
        <w:t>氮气发生器</w:t>
      </w:r>
      <w:r>
        <w:rPr>
          <w:rFonts w:hint="eastAsia" w:ascii="黑体" w:hAnsi="黑体" w:eastAsia="黑体" w:cs="黑体"/>
          <w:bCs/>
          <w:color w:val="auto"/>
          <w:sz w:val="28"/>
          <w:szCs w:val="28"/>
          <w:highlight w:val="none"/>
          <w:u w:val="single"/>
        </w:rPr>
        <w:t> </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2024-JQ06-W36</w:t>
      </w:r>
      <w:r>
        <w:rPr>
          <w:rFonts w:hint="eastAsia" w:ascii="黑体" w:hAnsi="黑体" w:eastAsia="黑体" w:cs="黑体"/>
          <w:bCs/>
          <w:color w:val="auto"/>
          <w:sz w:val="28"/>
          <w:szCs w:val="28"/>
          <w:highlight w:val="none"/>
          <w:u w:val="single"/>
          <w:lang w:val="en-US" w:eastAsia="zh-CN"/>
        </w:rPr>
        <w:t>19</w:t>
      </w:r>
      <w:r>
        <w:rPr>
          <w:rFonts w:hint="eastAsia" w:ascii="黑体" w:hAnsi="黑体" w:eastAsia="黑体" w:cs="黑体"/>
          <w:bCs/>
          <w:color w:val="auto"/>
          <w:sz w:val="28"/>
          <w:szCs w:val="28"/>
          <w:highlight w:val="none"/>
          <w:u w:val="single"/>
          <w:lang w:eastAsia="zh-CN"/>
        </w:rPr>
        <w:t xml:space="preserve"> </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3"/>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氮气发生器 </w:t>
            </w: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default" w:eastAsia="宋体"/>
                <w:bCs/>
                <w:snapToGrid w:val="0"/>
                <w:color w:val="auto"/>
                <w:sz w:val="24"/>
                <w:highlight w:val="none"/>
                <w:lang w:val="en-US" w:eastAsia="zh-CN"/>
              </w:rPr>
            </w:pPr>
            <w:r>
              <w:rPr>
                <w:rFonts w:hint="eastAsia"/>
                <w:bCs/>
                <w:snapToGrid w:val="0"/>
                <w:color w:val="auto"/>
                <w:sz w:val="24"/>
                <w:highlight w:val="none"/>
                <w:lang w:val="en-US" w:eastAsia="zh-CN"/>
              </w:rPr>
              <w:t>台</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25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25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6</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5</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6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5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rFonts w:hint="eastAsia"/>
          <w:bCs/>
          <w:color w:val="auto"/>
          <w:sz w:val="28"/>
          <w:szCs w:val="28"/>
          <w:highlight w:val="none"/>
          <w:lang w:val="en-US" w:eastAsia="zh-CN"/>
        </w:rPr>
        <w:t xml:space="preserve"> 6</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 xml:space="preserve">5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hint="eastAsia" w:eastAsia="黑体"/>
          <w:bCs/>
          <w:color w:val="auto"/>
          <w:sz w:val="28"/>
          <w:szCs w:val="28"/>
          <w:highlight w:val="none"/>
          <w:lang w:eastAsia="zh-CN"/>
        </w:rPr>
      </w:pPr>
    </w:p>
    <w:p>
      <w:pPr>
        <w:numPr>
          <w:ilvl w:val="255"/>
          <w:numId w:val="0"/>
        </w:numPr>
        <w:spacing w:line="560" w:lineRule="exact"/>
        <w:ind w:firstLine="560" w:firstLineChars="200"/>
        <w:rPr>
          <w:rFonts w:hint="eastAsia" w:eastAsia="黑体"/>
          <w:bCs/>
          <w:color w:val="auto"/>
          <w:sz w:val="28"/>
          <w:szCs w:val="28"/>
          <w:highlight w:val="none"/>
          <w:lang w:eastAsia="zh-CN"/>
        </w:rPr>
      </w:pPr>
    </w:p>
    <w:p>
      <w:pPr>
        <w:numPr>
          <w:ilvl w:val="255"/>
          <w:numId w:val="0"/>
        </w:numPr>
        <w:spacing w:line="560" w:lineRule="exact"/>
        <w:ind w:firstLine="560" w:firstLineChars="200"/>
        <w:rPr>
          <w:rFonts w:hint="eastAsia" w:eastAsia="黑体"/>
          <w:bCs/>
          <w:color w:val="auto"/>
          <w:sz w:val="28"/>
          <w:szCs w:val="28"/>
          <w:highlight w:val="none"/>
          <w:lang w:eastAsia="zh-CN"/>
        </w:rPr>
      </w:pP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8" w:type="default"/>
          <w:footerReference r:id="rId9" w:type="default"/>
          <w:pgSz w:w="11906" w:h="16838"/>
          <w:pgMar w:top="1418" w:right="1134" w:bottom="1418" w:left="1418" w:header="851" w:footer="851" w:gutter="0"/>
          <w:pgNumType w:fmt="decimal"/>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73" w:name="_Toc112768491"/>
      <w:bookmarkStart w:id="74" w:name="_Toc112317781"/>
      <w:bookmarkStart w:id="75" w:name="_Toc132186973"/>
      <w:bookmarkStart w:id="76" w:name="_Toc130661176"/>
      <w:bookmarkStart w:id="77" w:name="_Toc28545"/>
      <w:bookmarkStart w:id="78" w:name="_Toc30564"/>
      <w:bookmarkStart w:id="79" w:name="_Toc128470293"/>
      <w:bookmarkStart w:id="80" w:name="_Toc32050"/>
      <w:bookmarkStart w:id="81" w:name="_Toc9692"/>
      <w:bookmarkStart w:id="82" w:name="_Toc132191257"/>
      <w:bookmarkStart w:id="83" w:name="_Toc128154366"/>
      <w:bookmarkStart w:id="84" w:name="_Toc21632"/>
      <w:bookmarkStart w:id="85" w:name="_Toc130888005"/>
      <w:bookmarkStart w:id="86" w:name="_Toc130888007"/>
      <w:bookmarkStart w:id="87" w:name="_Toc132191259"/>
      <w:bookmarkStart w:id="88" w:name="_Toc132186975"/>
      <w:bookmarkStart w:id="89" w:name="_Toc128470295"/>
      <w:bookmarkStart w:id="90" w:name="_Toc128154368"/>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5"/>
        <w:spacing w:before="0" w:after="0" w:line="560" w:lineRule="exact"/>
        <w:ind w:firstLine="560" w:firstLineChars="200"/>
        <w:rPr>
          <w:rFonts w:ascii="黑体" w:hAnsi="黑体" w:cs="黑体"/>
          <w:b w:val="0"/>
          <w:color w:val="auto"/>
          <w:sz w:val="28"/>
          <w:szCs w:val="28"/>
          <w:highlight w:val="none"/>
        </w:rPr>
      </w:pPr>
      <w:bookmarkStart w:id="91" w:name="_Toc128397969"/>
      <w:bookmarkStart w:id="92" w:name="_Toc127820563"/>
      <w:bookmarkStart w:id="93" w:name="_Toc128151026"/>
      <w:bookmarkStart w:id="94" w:name="_Toc22387"/>
      <w:bookmarkStart w:id="95" w:name="_Toc128150133"/>
      <w:bookmarkStart w:id="96" w:name="_Toc130887499"/>
      <w:bookmarkStart w:id="97" w:name="_Toc30945"/>
      <w:bookmarkStart w:id="98" w:name="_Toc132190633"/>
      <w:bookmarkStart w:id="99" w:name="_Toc128150777"/>
      <w:bookmarkStart w:id="100" w:name="_Toc189"/>
      <w:bookmarkStart w:id="101" w:name="_Toc25703"/>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91"/>
      <w:bookmarkEnd w:id="92"/>
      <w:bookmarkEnd w:id="93"/>
      <w:bookmarkEnd w:id="94"/>
      <w:bookmarkEnd w:id="95"/>
      <w:bookmarkEnd w:id="96"/>
      <w:bookmarkEnd w:id="97"/>
      <w:bookmarkEnd w:id="98"/>
      <w:bookmarkEnd w:id="99"/>
      <w:bookmarkEnd w:id="100"/>
      <w:bookmarkEnd w:id="101"/>
      <w:r>
        <w:rPr>
          <w:rFonts w:hint="eastAsia"/>
          <w:color w:val="auto"/>
          <w:highlight w:val="none"/>
          <w:lang w:val="en-US" w:eastAsia="zh-CN"/>
        </w:rPr>
        <w:t>（均为实质性响应条款，不接受负偏离）</w:t>
      </w:r>
    </w:p>
    <w:tbl>
      <w:tblPr>
        <w:tblStyle w:val="42"/>
        <w:tblpPr w:leftFromText="180" w:rightFromText="180" w:vertAnchor="text" w:horzAnchor="page" w:tblpX="1267" w:tblpY="84"/>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05"/>
        <w:gridCol w:w="1407"/>
        <w:gridCol w:w="843"/>
        <w:gridCol w:w="5385"/>
        <w:gridCol w:w="630"/>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985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交货时间、交货地点</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合同签订后3个月内交付，交付地点由甲方指定。</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2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付款及结算方式</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auto"/>
                <w:sz w:val="20"/>
                <w:szCs w:val="20"/>
                <w:u w:val="none"/>
              </w:rPr>
            </w:pPr>
            <w:r>
              <w:rPr>
                <w:rFonts w:hint="eastAsia" w:ascii="黑体" w:hAnsi="宋体" w:eastAsia="黑体" w:cs="黑体"/>
                <w:i w:val="0"/>
                <w:iCs/>
                <w:color w:val="000000"/>
                <w:kern w:val="0"/>
                <w:sz w:val="20"/>
                <w:szCs w:val="20"/>
                <w:u w:val="none"/>
                <w:lang w:val="en-US" w:eastAsia="zh-CN" w:bidi="ar"/>
              </w:rPr>
              <w:t>签订合同付（预付）0%，物资到货（服务完成）验收后付95%。验收合格后满1年无质量问题支付剩余5%（不超过5%）</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40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407"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产品包装和运输要求</w:t>
            </w:r>
          </w:p>
        </w:tc>
        <w:tc>
          <w:tcPr>
            <w:tcW w:w="84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auto"/>
                <w:sz w:val="20"/>
                <w:szCs w:val="20"/>
                <w:u w:val="none"/>
              </w:rPr>
            </w:pPr>
            <w:r>
              <w:rPr>
                <w:rFonts w:hint="eastAsia" w:ascii="黑体" w:hAnsi="宋体" w:eastAsia="黑体" w:cs="黑体"/>
                <w:i w:val="0"/>
                <w:iCs/>
                <w:color w:val="000000"/>
                <w:kern w:val="0"/>
                <w:sz w:val="20"/>
                <w:szCs w:val="20"/>
                <w:u w:val="none"/>
                <w:lang w:val="en-US" w:eastAsia="zh-CN" w:bidi="ar"/>
              </w:rPr>
              <w:t>按照国家、行业相关标准规范，产品确保包装完好，运输确保不对产品造成损伤。</w:t>
            </w:r>
          </w:p>
        </w:tc>
        <w:tc>
          <w:tcPr>
            <w:tcW w:w="63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4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售后服务1</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auto"/>
                <w:sz w:val="20"/>
                <w:szCs w:val="20"/>
                <w:u w:val="none"/>
              </w:rPr>
            </w:pPr>
            <w:r>
              <w:rPr>
                <w:rFonts w:hint="eastAsia" w:ascii="黑体" w:hAnsi="宋体" w:eastAsia="黑体" w:cs="黑体"/>
                <w:i w:val="0"/>
                <w:iCs/>
                <w:color w:val="000000"/>
                <w:kern w:val="0"/>
                <w:sz w:val="20"/>
                <w:szCs w:val="20"/>
                <w:u w:val="none"/>
                <w:lang w:val="en-US" w:eastAsia="zh-CN" w:bidi="ar"/>
              </w:rPr>
              <w:t>保修年限不低于3年，全年故障停机时间不高于5%（按365日/年计算)。故障停机每超出1天，按两倍时间延保。</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保修期内免费提供定期维护保养服务，免费升级和维护软件，免费提供使用培训。故障停机时间每超出1天，按照两倍时间延保。</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售后服务3</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提供不少于5人次、2天的工程师维修培训。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0"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售后服务4</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（响应时间）</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维修响应时间≤1小时，维修到达现场时间≤4小时。</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备品备件要求（零配件）</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由供应商承诺设备零配件供应≥8年</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iCs/>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9</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物资编目编码、打码贴签要求</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本项目对物资的编目编码、打码贴签要求，报价供应商应当予以明确响应，相关费用包含在报价中。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企业承诺</w:t>
            </w:r>
          </w:p>
        </w:tc>
      </w:tr>
    </w:tbl>
    <w:p>
      <w:pPr>
        <w:pStyle w:val="113"/>
        <w:spacing w:line="560" w:lineRule="exact"/>
        <w:ind w:left="0" w:leftChars="0" w:firstLine="560" w:firstLineChars="20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★10知识产权:报价供应商应当保证采购单位在使用该物资或其任何一部分时，不受第三方侵权指控。同时，报价供应商不得向第三方泄露采购机构提供的技术文件等材料。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企业在领取成交通知书前，设备最终谈判报价按附件</w:t>
      </w:r>
      <w:r>
        <w:rPr>
          <w:rFonts w:hint="eastAsia" w:ascii="宋体" w:hAnsi="宋体" w:eastAsia="宋体" w:cs="Times New Roman"/>
          <w:bCs/>
          <w:color w:val="auto"/>
          <w:kern w:val="2"/>
          <w:sz w:val="28"/>
          <w:szCs w:val="28"/>
          <w:highlight w:val="none"/>
          <w:lang w:val="en-US" w:eastAsia="zh-CN" w:bidi="ar-SA"/>
        </w:rPr>
        <w:t>1、2、3内容重新组价并签字盖章。</w:t>
      </w: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5"/>
        <w:spacing w:before="0" w:after="0" w:line="560" w:lineRule="exact"/>
        <w:ind w:firstLine="560" w:firstLineChars="200"/>
        <w:rPr>
          <w:rFonts w:hint="eastAsia" w:ascii="黑体" w:hAnsi="黑体" w:cs="黑体"/>
          <w:b w:val="0"/>
          <w:color w:val="auto"/>
          <w:sz w:val="28"/>
          <w:szCs w:val="28"/>
          <w:highlight w:val="none"/>
        </w:rPr>
        <w:sectPr>
          <w:headerReference r:id="rId12" w:type="first"/>
          <w:headerReference r:id="rId10" w:type="default"/>
          <w:footerReference r:id="rId13" w:type="default"/>
          <w:headerReference r:id="rId11" w:type="even"/>
          <w:pgSz w:w="11906" w:h="16838"/>
          <w:pgMar w:top="1418" w:right="1134" w:bottom="1418" w:left="1418" w:header="851" w:footer="992" w:gutter="0"/>
          <w:pgNumType w:fmt="decimal"/>
          <w:cols w:space="720" w:num="1"/>
          <w:docGrid w:linePitch="312" w:charSpace="0"/>
        </w:sectPr>
      </w:pPr>
    </w:p>
    <w:p>
      <w:pPr>
        <w:pStyle w:val="5"/>
        <w:spacing w:before="0" w:after="0" w:line="560" w:lineRule="exact"/>
        <w:ind w:firstLine="560" w:firstLineChars="200"/>
        <w:rPr>
          <w:rFonts w:ascii="黑体" w:hAnsi="黑体" w:cs="黑体"/>
          <w:b w:val="0"/>
          <w:color w:val="auto"/>
          <w:sz w:val="28"/>
          <w:szCs w:val="28"/>
          <w:highlight w:val="none"/>
        </w:rPr>
      </w:pPr>
      <w:r>
        <w:rPr>
          <w:rFonts w:hint="eastAsia" w:ascii="黑体" w:hAnsi="黑体" w:cs="黑体"/>
          <w:b w:val="0"/>
          <w:color w:val="auto"/>
          <w:sz w:val="28"/>
          <w:szCs w:val="28"/>
          <w:highlight w:val="none"/>
        </w:rPr>
        <w:t>二、技术要求</w:t>
      </w:r>
      <w:bookmarkEnd w:id="86"/>
      <w:bookmarkEnd w:id="87"/>
      <w:bookmarkEnd w:id="88"/>
      <w:bookmarkEnd w:id="89"/>
      <w:bookmarkEnd w:id="90"/>
    </w:p>
    <w:tbl>
      <w:tblPr>
        <w:tblStyle w:val="42"/>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674"/>
        <w:gridCol w:w="674"/>
        <w:gridCol w:w="1080"/>
        <w:gridCol w:w="1080"/>
        <w:gridCol w:w="1080"/>
        <w:gridCol w:w="1080"/>
        <w:gridCol w:w="1080"/>
        <w:gridCol w:w="65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5" w:hRule="atLeast"/>
        </w:trPr>
        <w:tc>
          <w:tcPr>
            <w:tcW w:w="9563" w:type="dxa"/>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175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2834"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 xml:space="preserve">2024-JQ06-W3619 </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氮气发生器</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75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834"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216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324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氮气发生器，采用分子筛吸附技术，全集成一体式氮气发生器</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rPr>
            </w:pPr>
            <w:r>
              <w:rPr>
                <w:rFonts w:hint="eastAsia" w:ascii="黑体" w:hAnsi="宋体" w:eastAsia="黑体" w:cs="黑体"/>
                <w:i w:val="0"/>
                <w:color w:val="000000"/>
                <w:kern w:val="0"/>
                <w:sz w:val="20"/>
                <w:szCs w:val="20"/>
                <w:u w:val="none"/>
                <w:lang w:val="en-US" w:eastAsia="zh-CN" w:bidi="ar"/>
              </w:rPr>
              <w:t>产品说明书和设备照片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具备ISO9001认证体系或相关高新企业认证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相关认证证书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9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CE认证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相关认证证书并附中文翻译版本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兼容类型</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可以本机控制，也可以根据要求连接网络</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技术平台</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纳米级分子筛吸附技术</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技术白皮书和产品说明书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氮气流量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（100-120）升/分钟</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auto"/>
                <w:kern w:val="0"/>
                <w:sz w:val="20"/>
                <w:szCs w:val="20"/>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产品说明书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气体纯度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97%~99.9</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auto"/>
                <w:kern w:val="0"/>
                <w:sz w:val="20"/>
                <w:szCs w:val="20"/>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产品说明书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出口压力范围</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（1~110）psi</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auto"/>
                <w:kern w:val="0"/>
                <w:sz w:val="20"/>
                <w:szCs w:val="20"/>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设备结构</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一体机，所有设备集成在一个机箱内</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rPr>
            </w:pPr>
            <w:r>
              <w:rPr>
                <w:rFonts w:hint="eastAsia" w:ascii="黑体" w:hAnsi="宋体" w:eastAsia="黑体" w:cs="黑体"/>
                <w:i w:val="0"/>
                <w:color w:val="000000"/>
                <w:kern w:val="0"/>
                <w:sz w:val="20"/>
                <w:szCs w:val="20"/>
                <w:u w:val="none"/>
                <w:lang w:val="en-US" w:eastAsia="zh-CN" w:bidi="ar"/>
              </w:rPr>
              <w:t>10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控制方式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中央控制单元控制</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iCs/>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显示方式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触摸屏控制</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气源</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全无油压缩机，4机头设计，双过滤进气系统</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产品说明书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节能模式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独立程序设计，可以根据质谱运行数量和气量，随机调节压缩机运行时间</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移动便捷性</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整体设备带有脚轮和刹车</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color w:val="auto"/>
                <w:sz w:val="20"/>
                <w:szCs w:val="20"/>
                <w:u w:val="none"/>
              </w:rPr>
            </w:pPr>
            <w:r>
              <w:rPr>
                <w:rFonts w:hint="eastAsia" w:ascii="黑体" w:hAnsi="宋体" w:eastAsia="黑体" w:cs="黑体"/>
                <w:b w:val="0"/>
                <w:bCs w:val="0"/>
                <w:i w:val="0"/>
                <w:iCs/>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黑体" w:hAnsi="宋体" w:eastAsia="黑体" w:cs="黑体"/>
                <w:i w:val="0"/>
                <w:color w:val="000000"/>
                <w:kern w:val="0"/>
                <w:sz w:val="20"/>
                <w:szCs w:val="20"/>
                <w:u w:val="none"/>
                <w:lang w:val="en-US" w:eastAsia="zh-CN" w:bidi="ar"/>
              </w:rPr>
              <w:t>气路控制方式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i w:val="0"/>
                <w:iCs w:val="0"/>
                <w:color w:val="auto"/>
              </w:rPr>
            </w:pPr>
            <w:r>
              <w:rPr>
                <w:rFonts w:hint="eastAsia" w:ascii="黑体" w:hAnsi="宋体" w:eastAsia="黑体" w:cs="黑体"/>
                <w:i w:val="0"/>
                <w:iCs w:val="0"/>
                <w:color w:val="auto"/>
                <w:kern w:val="0"/>
                <w:sz w:val="20"/>
                <w:szCs w:val="20"/>
                <w:u w:val="none"/>
                <w:lang w:val="en-US" w:eastAsia="zh-CN" w:bidi="ar"/>
              </w:rPr>
              <w:t>采用电子阀驱动气动阀控制，通过程序来控制电磁阀的开合，然后再由电磁阀来控制气路上的气动阀</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iCs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黑体" w:hAnsi="宋体" w:eastAsia="黑体" w:cs="黑体"/>
                <w:i w:val="0"/>
                <w:color w:val="000000"/>
                <w:kern w:val="0"/>
                <w:sz w:val="20"/>
                <w:szCs w:val="20"/>
                <w:u w:val="none"/>
                <w:lang w:val="en-US" w:eastAsia="zh-CN" w:bidi="ar"/>
              </w:rPr>
              <w:t>氮气纯度检测仪</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黑体" w:hAnsi="宋体" w:eastAsia="黑体" w:cs="黑体"/>
                <w:i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i w:val="0"/>
                <w:iCs w:val="0"/>
                <w:color w:val="auto"/>
              </w:rPr>
            </w:pPr>
            <w:r>
              <w:rPr>
                <w:rFonts w:hint="eastAsia" w:ascii="黑体" w:hAnsi="宋体" w:eastAsia="黑体" w:cs="黑体"/>
                <w:i w:val="0"/>
                <w:iCs w:val="0"/>
                <w:color w:val="auto"/>
                <w:kern w:val="0"/>
                <w:sz w:val="20"/>
                <w:szCs w:val="20"/>
                <w:u w:val="none"/>
                <w:lang w:val="en-US" w:eastAsia="zh-CN" w:bidi="ar"/>
              </w:rPr>
              <w:t>精度：0ppm～21%  O2  +-1.5%FS</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模拟输出：4～20mA</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iCs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iCs w:val="0"/>
                <w:color w:val="auto"/>
                <w:kern w:val="0"/>
                <w:sz w:val="20"/>
                <w:szCs w:val="20"/>
                <w:u w:val="none"/>
                <w:lang w:val="en-US" w:eastAsia="zh-CN" w:bidi="ar"/>
              </w:rPr>
              <w:t>设备照片和企业承诺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氮气压力传感器</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精度：+-2%F.S.+-1digit</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模拟输出：4～20mA</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设备照片和企业承诺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氮气流量传感器</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精度：+-1%F.S.</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模拟输出：4～20mA  可提供纯度在线监测仪，流量在线监测仪，压力在线监测仪，并可以实时4-20mA传输到模拟量处理模块，通过触摸屏显示设备运行状态。在屏膜上有运行故障报警显示，当压力过低，或者纯度不合格，设备需要维保时进行报警提示。</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设备照片和企业承诺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配置要求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一体机，至少包括氮气纯度检测仪1台，氮气压力传感器1台，氮气流量传感器1台</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无封闭耗材（试剂）</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厂家或企业承诺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验收标准方法</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按照投标文件、采购合同、质量标准等，组织对设备进行质量验收，出具验收报告。验收过程中对于核心参数存疑需检测的，可委托地方具有相应检测能力的机构提供技术支持。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135" w:type="dxa"/>
            <w:gridSpan w:val="7"/>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▲标识的指标负偏离≥5项，投标企业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▲标识的指标和“无标识”指标负偏离≥10项，投标企业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32"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18"/>
                <w:szCs w:val="18"/>
                <w:u w:val="none"/>
                <w:lang w:val="en-US" w:eastAsia="zh-CN" w:bidi="ar"/>
              </w:rPr>
              <w:t>”号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w:t>
            </w:r>
            <w:r>
              <w:rPr>
                <w:rFonts w:hint="eastAsia" w:ascii="宋体" w:hAnsi="宋体" w:cs="宋体"/>
                <w:i w:val="0"/>
                <w:color w:val="000000"/>
                <w:kern w:val="0"/>
                <w:sz w:val="18"/>
                <w:szCs w:val="18"/>
                <w:u w:val="none"/>
                <w:lang w:val="en-US" w:eastAsia="zh-CN" w:bidi="ar"/>
              </w:rPr>
              <w:t>报价人</w:t>
            </w:r>
            <w:r>
              <w:rPr>
                <w:rFonts w:hint="eastAsia" w:ascii="宋体" w:hAnsi="宋体" w:eastAsia="宋体" w:cs="宋体"/>
                <w:i w:val="0"/>
                <w:color w:val="000000"/>
                <w:kern w:val="0"/>
                <w:sz w:val="18"/>
                <w:szCs w:val="18"/>
                <w:u w:val="none"/>
                <w:lang w:val="en-US" w:eastAsia="zh-CN" w:bidi="ar"/>
              </w:rPr>
              <w:t>响应承诺为准。</w:t>
            </w:r>
          </w:p>
        </w:tc>
      </w:tr>
    </w:tbl>
    <w:p>
      <w:pPr>
        <w:widowControl/>
        <w:snapToGrid w:val="0"/>
        <w:spacing w:line="560" w:lineRule="exact"/>
        <w:ind w:firstLine="560" w:firstLineChars="200"/>
        <w:jc w:val="left"/>
        <w:rPr>
          <w:rFonts w:ascii="宋体" w:hAnsi="宋体"/>
          <w:bCs/>
          <w:snapToGrid w:val="0"/>
          <w:sz w:val="28"/>
          <w:szCs w:val="28"/>
          <w:highlight w:val="none"/>
        </w:rPr>
      </w:pPr>
    </w:p>
    <w:p>
      <w:pPr>
        <w:shd w:val="clear"/>
        <w:tabs>
          <w:tab w:val="left" w:pos="0"/>
        </w:tabs>
        <w:spacing w:line="560" w:lineRule="atLeast"/>
        <w:ind w:firstLine="562" w:firstLineChars="200"/>
        <w:rPr>
          <w:rFonts w:hint="eastAsia"/>
          <w:b/>
          <w:sz w:val="28"/>
          <w:szCs w:val="28"/>
          <w:highlight w:val="none"/>
          <w:lang w:val="en-US" w:eastAsia="zh-CN"/>
        </w:rPr>
      </w:pPr>
    </w:p>
    <w:p>
      <w:pPr>
        <w:pStyle w:val="17"/>
        <w:rPr>
          <w:rFonts w:hint="eastAsia"/>
          <w:lang w:val="en-US" w:eastAsia="zh-CN"/>
        </w:rPr>
        <w:sectPr>
          <w:footerReference r:id="rId14" w:type="default"/>
          <w:pgSz w:w="11906" w:h="16838"/>
          <w:pgMar w:top="1418" w:right="1134" w:bottom="1418" w:left="1418" w:header="851" w:footer="992" w:gutter="0"/>
          <w:pgNumType w:fmt="decimal"/>
          <w:cols w:space="720" w:num="1"/>
          <w:docGrid w:linePitch="312" w:charSpace="0"/>
        </w:sectPr>
      </w:pPr>
    </w:p>
    <w:p>
      <w:pPr>
        <w:rPr>
          <w:rFonts w:hint="eastAsia"/>
          <w:lang w:val="en-US" w:eastAsia="zh-CN"/>
        </w:rPr>
      </w:pPr>
    </w:p>
    <w:p>
      <w:pPr>
        <w:pStyle w:val="4"/>
        <w:keepNext w:val="0"/>
        <w:keepLines w:val="0"/>
        <w:adjustRightInd w:val="0"/>
        <w:snapToGrid w:val="0"/>
        <w:spacing w:line="560" w:lineRule="exact"/>
        <w:jc w:val="center"/>
        <w:rPr>
          <w:b w:val="0"/>
          <w:szCs w:val="44"/>
          <w:highlight w:val="none"/>
          <w:lang w:val="zh-CN"/>
        </w:rPr>
      </w:pPr>
      <w:bookmarkStart w:id="102" w:name="_Toc112768494"/>
      <w:bookmarkStart w:id="103" w:name="_Toc27977"/>
      <w:bookmarkStart w:id="104" w:name="_Toc17172"/>
      <w:bookmarkStart w:id="105" w:name="_Toc7226"/>
      <w:bookmarkStart w:id="106" w:name="_Toc2550"/>
      <w:bookmarkStart w:id="107" w:name="_Toc31554"/>
      <w:bookmarkStart w:id="108" w:name="_Toc130888008"/>
      <w:bookmarkStart w:id="109" w:name="_Toc128470296"/>
      <w:bookmarkStart w:id="110" w:name="_Toc128154369"/>
      <w:bookmarkStart w:id="111" w:name="_Toc130661177"/>
      <w:bookmarkStart w:id="112" w:name="_Toc132186976"/>
      <w:bookmarkStart w:id="113" w:name="_Toc132191260"/>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7"/>
        <w:spacing w:before="156" w:after="156"/>
        <w:ind w:firstLine="420"/>
        <w:rPr>
          <w:highlight w:val="none"/>
        </w:rPr>
      </w:pPr>
    </w:p>
    <w:p>
      <w:pPr>
        <w:spacing w:before="156" w:after="156"/>
        <w:rPr>
          <w:highlight w:val="none"/>
        </w:rPr>
      </w:pPr>
    </w:p>
    <w:p>
      <w:pPr>
        <w:pStyle w:val="17"/>
        <w:spacing w:before="156" w:after="156"/>
        <w:rPr>
          <w:highlight w:val="none"/>
        </w:rPr>
      </w:pPr>
    </w:p>
    <w:p>
      <w:pPr>
        <w:spacing w:before="156" w:after="156"/>
        <w:ind w:firstLine="420"/>
        <w:rPr>
          <w:highlight w:val="none"/>
        </w:rPr>
      </w:pPr>
    </w:p>
    <w:p>
      <w:pPr>
        <w:pStyle w:val="17"/>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7"/>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7"/>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7"/>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7"/>
        <w:spacing w:before="156" w:after="156"/>
        <w:ind w:firstLine="1638"/>
        <w:rPr>
          <w:color w:val="auto"/>
          <w:highlight w:val="none"/>
        </w:rPr>
      </w:pPr>
    </w:p>
    <w:p>
      <w:pPr>
        <w:pStyle w:val="17"/>
        <w:spacing w:before="156" w:after="156"/>
        <w:ind w:firstLine="1638"/>
        <w:rPr>
          <w:color w:val="auto"/>
          <w:sz w:val="32"/>
          <w:szCs w:val="32"/>
          <w:highlight w:val="none"/>
        </w:rPr>
      </w:pPr>
    </w:p>
    <w:p>
      <w:pPr>
        <w:pStyle w:val="17"/>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7"/>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7"/>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5"/>
        <w:spacing w:before="0" w:after="0" w:line="560" w:lineRule="exact"/>
        <w:ind w:firstLine="560" w:firstLineChars="200"/>
        <w:rPr>
          <w:rFonts w:ascii="黑体" w:hAnsi="黑体" w:cs="黑体"/>
          <w:b w:val="0"/>
          <w:sz w:val="28"/>
          <w:szCs w:val="28"/>
          <w:highlight w:val="none"/>
        </w:rPr>
      </w:pPr>
      <w:bookmarkStart w:id="114" w:name="_Toc128470297"/>
      <w:bookmarkStart w:id="115" w:name="_Toc132191261"/>
      <w:bookmarkStart w:id="116" w:name="_Toc128154370"/>
      <w:bookmarkStart w:id="117" w:name="_Toc25715"/>
      <w:bookmarkStart w:id="118" w:name="_Toc20638"/>
      <w:bookmarkStart w:id="119" w:name="_Toc15775"/>
      <w:bookmarkStart w:id="120" w:name="_Toc20706"/>
      <w:bookmarkStart w:id="121" w:name="_Toc130661178"/>
      <w:bookmarkStart w:id="122" w:name="_Toc132186977"/>
      <w:bookmarkStart w:id="123" w:name="_Toc9762"/>
      <w:bookmarkStart w:id="124" w:name="_Toc112768495"/>
      <w:bookmarkStart w:id="125" w:name="_Toc130888009"/>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5"/>
        <w:spacing w:before="0" w:after="0" w:line="560" w:lineRule="exact"/>
        <w:ind w:firstLine="560" w:firstLineChars="200"/>
        <w:rPr>
          <w:rFonts w:ascii="黑体" w:hAnsi="黑体" w:cs="黑体"/>
          <w:b w:val="0"/>
          <w:color w:val="auto"/>
          <w:sz w:val="28"/>
          <w:szCs w:val="28"/>
          <w:highlight w:val="none"/>
        </w:rPr>
      </w:pPr>
      <w:bookmarkStart w:id="126" w:name="_Toc12507"/>
      <w:bookmarkStart w:id="127" w:name="_Toc22250"/>
      <w:bookmarkStart w:id="128" w:name="_Toc7592"/>
      <w:bookmarkStart w:id="129" w:name="_Toc130661179"/>
      <w:bookmarkStart w:id="130" w:name="_Toc128470298"/>
      <w:bookmarkStart w:id="131" w:name="_Toc112768496"/>
      <w:bookmarkStart w:id="132" w:name="_Toc3957"/>
      <w:bookmarkStart w:id="133" w:name="_Toc21913"/>
      <w:bookmarkStart w:id="134" w:name="_Toc128154371"/>
      <w:bookmarkStart w:id="135" w:name="_Toc130888010"/>
      <w:bookmarkStart w:id="136" w:name="_Toc7039"/>
      <w:bookmarkStart w:id="137" w:name="_Toc132191262"/>
      <w:bookmarkStart w:id="138" w:name="_Toc9283"/>
      <w:bookmarkStart w:id="139" w:name="_Toc28273"/>
      <w:bookmarkStart w:id="140" w:name="_Toc132186978"/>
      <w:bookmarkStart w:id="141" w:name="_Toc2697"/>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2"/>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5"/>
        <w:spacing w:before="0" w:after="0" w:line="560" w:lineRule="exact"/>
        <w:ind w:firstLine="560" w:firstLineChars="200"/>
        <w:rPr>
          <w:rFonts w:ascii="黑体" w:hAnsi="黑体" w:cs="黑体"/>
          <w:b w:val="0"/>
          <w:color w:val="auto"/>
          <w:sz w:val="28"/>
          <w:szCs w:val="28"/>
          <w:highlight w:val="none"/>
        </w:rPr>
      </w:pPr>
      <w:bookmarkStart w:id="142" w:name="_Toc18208"/>
      <w:bookmarkStart w:id="143" w:name="_Toc112768497"/>
      <w:bookmarkStart w:id="144" w:name="_Toc2301"/>
      <w:bookmarkStart w:id="145" w:name="_Toc7115"/>
      <w:bookmarkStart w:id="146" w:name="_Toc128470299"/>
      <w:bookmarkStart w:id="147" w:name="_Toc128154372"/>
      <w:bookmarkStart w:id="148" w:name="_Toc12001"/>
      <w:bookmarkStart w:id="149" w:name="_Toc130888011"/>
      <w:bookmarkStart w:id="150" w:name="_Toc132191263"/>
      <w:bookmarkStart w:id="151" w:name="_Toc19051"/>
      <w:bookmarkStart w:id="152" w:name="_Toc23995"/>
      <w:bookmarkStart w:id="153" w:name="_Toc23458"/>
      <w:bookmarkStart w:id="154" w:name="_Toc132186979"/>
      <w:bookmarkStart w:id="155" w:name="_Toc15844"/>
      <w:bookmarkStart w:id="156" w:name="_Toc130661180"/>
      <w:bookmarkStart w:id="157" w:name="_Toc31837"/>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5"/>
        <w:spacing w:before="0" w:after="0" w:line="560" w:lineRule="exact"/>
        <w:ind w:firstLine="560" w:firstLineChars="200"/>
        <w:rPr>
          <w:rFonts w:ascii="黑体" w:hAnsi="黑体" w:cs="黑体"/>
          <w:b w:val="0"/>
          <w:sz w:val="28"/>
          <w:szCs w:val="28"/>
          <w:highlight w:val="none"/>
        </w:rPr>
      </w:pPr>
      <w:bookmarkStart w:id="158" w:name="_Toc128154373"/>
      <w:bookmarkStart w:id="159" w:name="_Toc130661181"/>
      <w:bookmarkStart w:id="160" w:name="_Toc130888012"/>
      <w:bookmarkStart w:id="161" w:name="_Toc128470300"/>
      <w:bookmarkStart w:id="162" w:name="_Toc121216200"/>
      <w:bookmarkStart w:id="163" w:name="_Toc132186980"/>
      <w:bookmarkStart w:id="164" w:name="_Toc132191264"/>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5"/>
        <w:spacing w:before="0" w:after="0" w:line="560" w:lineRule="exact"/>
        <w:ind w:firstLine="560" w:firstLineChars="200"/>
        <w:rPr>
          <w:rFonts w:ascii="黑体" w:hAnsi="黑体" w:cs="黑体"/>
          <w:b w:val="0"/>
          <w:sz w:val="28"/>
          <w:szCs w:val="28"/>
          <w:highlight w:val="none"/>
        </w:rPr>
      </w:pPr>
      <w:bookmarkStart w:id="165" w:name="_Toc121216201"/>
      <w:bookmarkStart w:id="166" w:name="_Toc130888013"/>
      <w:bookmarkStart w:id="167" w:name="_Toc128470301"/>
      <w:bookmarkStart w:id="168" w:name="_Toc128154374"/>
      <w:bookmarkStart w:id="169" w:name="_Toc132191265"/>
      <w:bookmarkStart w:id="170" w:name="_Toc130661182"/>
      <w:bookmarkStart w:id="171" w:name="_Toc132186981"/>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30888014"/>
      <w:bookmarkStart w:id="173" w:name="_Toc128154375"/>
      <w:bookmarkStart w:id="174" w:name="_Toc132191266"/>
      <w:bookmarkStart w:id="175" w:name="_Toc130661183"/>
      <w:bookmarkStart w:id="176" w:name="_Toc132186982"/>
      <w:bookmarkStart w:id="177" w:name="_Toc128470302"/>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7"/>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5"/>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5"/>
        <w:spacing w:before="0" w:after="0" w:line="560" w:lineRule="exact"/>
        <w:ind w:firstLine="560" w:firstLineChars="200"/>
        <w:rPr>
          <w:rFonts w:ascii="黑体" w:hAnsi="黑体" w:cs="黑体"/>
          <w:b w:val="0"/>
          <w:sz w:val="28"/>
          <w:szCs w:val="28"/>
          <w:highlight w:val="none"/>
        </w:rPr>
      </w:pPr>
      <w:bookmarkStart w:id="178" w:name="_Toc128470303"/>
      <w:bookmarkStart w:id="179" w:name="_Toc132191267"/>
      <w:bookmarkStart w:id="180" w:name="_Toc132186983"/>
      <w:bookmarkStart w:id="181" w:name="_Toc130661184"/>
      <w:bookmarkStart w:id="182" w:name="_Toc130888015"/>
      <w:bookmarkStart w:id="183" w:name="_Toc128154376"/>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132186984"/>
      <w:bookmarkStart w:id="185" w:name="_Toc32477"/>
      <w:bookmarkStart w:id="186" w:name="_Toc15635"/>
      <w:bookmarkStart w:id="187" w:name="_Toc132191268"/>
      <w:bookmarkStart w:id="188" w:name="_Toc26597"/>
      <w:bookmarkStart w:id="189" w:name="_Toc24432"/>
      <w:bookmarkStart w:id="190" w:name="_Toc996"/>
      <w:bookmarkStart w:id="191" w:name="_Toc112768500"/>
      <w:bookmarkStart w:id="192" w:name="_Toc130888016"/>
      <w:bookmarkStart w:id="193" w:name="_Toc128470304"/>
      <w:bookmarkStart w:id="194" w:name="_Toc128154377"/>
      <w:bookmarkStart w:id="195" w:name="_Toc130661185"/>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5"/>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5"/>
        <w:spacing w:before="0" w:after="0" w:line="560" w:lineRule="exact"/>
        <w:ind w:firstLine="560" w:firstLineChars="200"/>
        <w:rPr>
          <w:rFonts w:ascii="黑体" w:hAnsi="黑体" w:cs="黑体"/>
          <w:b w:val="0"/>
          <w:color w:val="auto"/>
          <w:sz w:val="28"/>
          <w:szCs w:val="28"/>
          <w:highlight w:val="none"/>
        </w:rPr>
      </w:pPr>
      <w:bookmarkStart w:id="196" w:name="_Toc130661186"/>
      <w:bookmarkStart w:id="197" w:name="_Toc128470305"/>
      <w:bookmarkStart w:id="198" w:name="_Toc14862"/>
      <w:bookmarkStart w:id="199" w:name="_Toc132186985"/>
      <w:bookmarkStart w:id="200" w:name="_Toc28703"/>
      <w:bookmarkStart w:id="201" w:name="_Toc130888017"/>
      <w:bookmarkStart w:id="202" w:name="_Toc10300"/>
      <w:bookmarkStart w:id="203" w:name="_Toc121216205"/>
      <w:bookmarkStart w:id="204" w:name="_Toc132191269"/>
      <w:bookmarkStart w:id="205" w:name="_Toc128154378"/>
      <w:bookmarkStart w:id="206" w:name="_Toc32494"/>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7"/>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5"/>
        <w:spacing w:before="0" w:after="0" w:line="560" w:lineRule="exact"/>
        <w:ind w:firstLine="560" w:firstLineChars="200"/>
        <w:rPr>
          <w:rFonts w:ascii="黑体" w:hAnsi="黑体" w:cs="黑体"/>
          <w:b w:val="0"/>
          <w:color w:val="auto"/>
          <w:sz w:val="28"/>
          <w:szCs w:val="28"/>
          <w:highlight w:val="none"/>
        </w:rPr>
      </w:pPr>
      <w:bookmarkStart w:id="207" w:name="_Toc8142"/>
      <w:bookmarkStart w:id="208" w:name="_Toc128470306"/>
      <w:bookmarkStart w:id="209" w:name="_Toc121216206"/>
      <w:bookmarkStart w:id="210" w:name="_Toc132186986"/>
      <w:bookmarkStart w:id="211" w:name="_Toc130661187"/>
      <w:bookmarkStart w:id="212" w:name="_Toc16995"/>
      <w:bookmarkStart w:id="213" w:name="_Toc14394"/>
      <w:bookmarkStart w:id="214" w:name="_Toc128154379"/>
      <w:bookmarkStart w:id="215" w:name="_Toc7334"/>
      <w:bookmarkStart w:id="216" w:name="_Toc130888018"/>
      <w:bookmarkStart w:id="217" w:name="_Toc132191270"/>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5"/>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130888019"/>
      <w:bookmarkStart w:id="219" w:name="_Toc128470307"/>
      <w:bookmarkStart w:id="220" w:name="_Toc130661188"/>
      <w:bookmarkStart w:id="221" w:name="_Toc21465"/>
      <w:bookmarkStart w:id="222" w:name="_Toc128154380"/>
      <w:bookmarkStart w:id="223" w:name="_Toc23845"/>
      <w:bookmarkStart w:id="224" w:name="_Toc132191271"/>
      <w:bookmarkStart w:id="225" w:name="_Toc15882"/>
      <w:bookmarkStart w:id="226" w:name="_Toc25665"/>
      <w:bookmarkStart w:id="227" w:name="_Toc132186987"/>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2"/>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5"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4"/>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2"/>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2"/>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bl>
    <w:p>
      <w:pPr>
        <w:spacing w:line="540" w:lineRule="exact"/>
        <w:ind w:firstLine="560" w:firstLineChars="200"/>
        <w:outlineLvl w:val="0"/>
        <w:rPr>
          <w:rFonts w:hint="eastAsia" w:ascii="黑体" w:hAnsi="黑体" w:eastAsia="黑体"/>
          <w:sz w:val="28"/>
          <w:szCs w:val="28"/>
          <w:highlight w:val="none"/>
          <w:u w:val="none"/>
        </w:rPr>
      </w:pPr>
    </w:p>
    <w:p>
      <w:pPr>
        <w:spacing w:line="540" w:lineRule="exact"/>
        <w:ind w:firstLine="560" w:firstLineChars="200"/>
        <w:outlineLvl w:val="0"/>
        <w:rPr>
          <w:rFonts w:hint="eastAsia" w:ascii="黑体" w:hAnsi="黑体" w:eastAsia="黑体"/>
          <w:sz w:val="28"/>
          <w:szCs w:val="28"/>
          <w:highlight w:val="none"/>
          <w:u w:val="none"/>
        </w:rPr>
      </w:pPr>
    </w:p>
    <w:p>
      <w:pPr>
        <w:spacing w:line="540" w:lineRule="exact"/>
        <w:ind w:firstLine="560" w:firstLineChars="200"/>
        <w:outlineLvl w:val="0"/>
        <w:rPr>
          <w:rFonts w:hint="eastAsia" w:ascii="黑体" w:hAnsi="黑体" w:eastAsia="黑体"/>
          <w:sz w:val="28"/>
          <w:szCs w:val="28"/>
          <w:highlight w:val="none"/>
          <w:u w:val="none"/>
        </w:rPr>
      </w:pPr>
    </w:p>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2"/>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val="en-US" w:eastAsia="zh-CN"/>
              </w:rPr>
            </w:pPr>
          </w:p>
        </w:tc>
      </w:tr>
    </w:tbl>
    <w:p>
      <w:pPr>
        <w:pStyle w:val="4"/>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2"/>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2"/>
        <w:rPr>
          <w:rFonts w:hint="eastAsia" w:ascii="宋体" w:hAnsi="宋体" w:cs="宋体"/>
          <w:bCs/>
          <w:color w:val="auto"/>
          <w:sz w:val="28"/>
          <w:szCs w:val="28"/>
          <w:highlight w:val="none"/>
          <w:u w:val="single"/>
          <w:lang w:eastAsia="zh-CN"/>
        </w:rPr>
        <w:sectPr>
          <w:headerReference r:id="rId16" w:type="default"/>
          <w:pgSz w:w="11906" w:h="16838"/>
          <w:pgMar w:top="1418" w:right="1134" w:bottom="1418" w:left="1418" w:header="851" w:footer="992" w:gutter="0"/>
          <w:pgNumType w:fmt="decimal"/>
          <w:cols w:space="720" w:num="1"/>
          <w:docGrid w:linePitch="312" w:charSpace="0"/>
        </w:sectPr>
      </w:pPr>
    </w:p>
    <w:p>
      <w:pPr>
        <w:pStyle w:val="6"/>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6"/>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2"/>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报价</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2"/>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如氮气纯度检测仪</w:t>
            </w:r>
          </w:p>
          <w:p>
            <w:pPr>
              <w:shd w:val="clear"/>
              <w:spacing w:beforeLines="0" w:afterLines="0"/>
              <w:jc w:val="center"/>
              <w:rPr>
                <w:rFonts w:hint="default" w:ascii="宋体" w:hAnsi="宋体"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eastAsia="宋体" w:cs="Times New Roman"/>
                <w:kern w:val="2"/>
                <w:sz w:val="21"/>
                <w:szCs w:val="24"/>
                <w:highlight w:val="none"/>
                <w:lang w:val="en-US" w:eastAsia="zh-CN" w:bidi="ar-SA"/>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sz w:val="21"/>
                <w:highlight w:val="none"/>
                <w:lang w:val="en-US" w:eastAsia="zh-CN"/>
              </w:rPr>
              <w:t>.......</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sz w:val="21"/>
                <w:highlight w:val="none"/>
                <w:lang w:val="en-US" w:eastAsia="zh-CN"/>
              </w:rPr>
              <w:t>.......</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sz w:val="21"/>
                <w:highlight w:val="none"/>
                <w:lang w:val="en-US" w:eastAsia="zh-CN"/>
              </w:rPr>
              <w:t>.......</w:t>
            </w: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sz w:val="21"/>
                <w:highlight w:val="none"/>
                <w:lang w:val="en-US" w:eastAsia="zh-CN"/>
              </w:rPr>
              <w:t>.......</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3.报价包含设备本身价格、包装费用、运输费用、装卸费用、安装调试费用、质保费用、售后服务费用以及各种税费、管理费、利润、其他费用等全部费用；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2"/>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spacing w:beforeLines="0" w:after="240" w:afterLines="100"/>
        <w:jc w:val="both"/>
        <w:rPr>
          <w:rFonts w:hint="eastAsia"/>
          <w:highlight w:val="none"/>
          <w:lang w:eastAsia="zh-CN"/>
        </w:rPr>
        <w:sectPr>
          <w:pgSz w:w="16838" w:h="11906" w:orient="landscape"/>
          <w:pgMar w:top="1417" w:right="1417" w:bottom="1134" w:left="1417" w:header="851" w:footer="454" w:gutter="0"/>
          <w:pgNumType w:fmt="decimal"/>
          <w:cols w:space="0" w:num="1"/>
          <w:docGrid w:linePitch="312" w:charSpace="0"/>
        </w:sectPr>
      </w:pPr>
      <w:r>
        <w:rPr>
          <w:rFonts w:hint="eastAsia"/>
          <w:b w:val="0"/>
          <w:highlight w:val="none"/>
        </w:rPr>
        <w:br w:type="page"/>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7" w:type="default"/>
          <w:footerReference r:id="rId18"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6"/>
        <w:spacing w:beforeLines="5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6"/>
        <w:spacing w:beforeLines="50" w:afterLines="50"/>
        <w:rPr>
          <w:rFonts w:hint="eastAsia"/>
          <w:b w:val="0"/>
          <w:highlight w:val="none"/>
          <w:lang w:val="zh-CN"/>
        </w:rPr>
      </w:pPr>
      <w:r>
        <w:rPr>
          <w:rFonts w:hint="eastAsia"/>
          <w:b w:val="0"/>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6"/>
        <w:spacing w:before="120" w:beforeLines="50" w:after="12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6"/>
        <w:spacing w:beforeLines="50" w:afterLines="50" w:line="560" w:lineRule="exact"/>
        <w:rPr>
          <w:bCs w:val="0"/>
          <w:highlight w:val="none"/>
          <w:lang w:val="zh-CN"/>
        </w:rPr>
      </w:pPr>
      <w:r>
        <w:rPr>
          <w:b w:val="0"/>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6"/>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2"/>
        <w:rPr>
          <w:rFonts w:hint="eastAsia"/>
          <w:lang w:val="zh-CN"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2"/>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2"/>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line="560" w:lineRule="exact"/>
        <w:rPr>
          <w:highlight w:val="none"/>
          <w:lang w:val="zh-CN"/>
        </w:rPr>
      </w:pPr>
    </w:p>
    <w:p>
      <w:pPr>
        <w:rPr>
          <w:rFonts w:hint="eastAsia"/>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2"/>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2"/>
        <w:rPr>
          <w:rFonts w:hint="eastAsia"/>
          <w:highlight w:val="none"/>
        </w:rPr>
      </w:pPr>
      <w:r>
        <w:rPr>
          <w:rFonts w:hint="eastAsia"/>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6"/>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2"/>
        <w:rPr>
          <w:rFonts w:hint="eastAsia"/>
          <w:highlight w:val="none"/>
        </w:rPr>
      </w:pPr>
      <w:r>
        <w:rPr>
          <w:b w:val="0"/>
          <w:highlight w:val="none"/>
          <w:lang w:val="zh-CN"/>
        </w:rPr>
        <w:br w:type="page"/>
      </w:r>
    </w:p>
    <w:p>
      <w:pPr>
        <w:pStyle w:val="6"/>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7"/>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6"/>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2"/>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6"/>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2"/>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6"/>
        <w:spacing w:beforeLines="5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6"/>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6"/>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6"/>
        <w:spacing w:beforeLines="50" w:afterLines="50" w:line="360" w:lineRule="auto"/>
        <w:rPr>
          <w:bCs w:val="0"/>
          <w:highlight w:val="none"/>
        </w:rPr>
      </w:pPr>
      <w:r>
        <w:rPr>
          <w:b w:val="0"/>
          <w:highlight w:val="none"/>
        </w:rPr>
        <w:br w:type="page"/>
      </w:r>
    </w:p>
    <w:p>
      <w:pPr>
        <w:pStyle w:val="6"/>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7"/>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2"/>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6"/>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2"/>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2"/>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6"/>
        <w:spacing w:beforeLines="50" w:afterLines="50"/>
        <w:rPr>
          <w:rFonts w:ascii="宋体" w:hAnsi="宋体"/>
          <w:b w:val="0"/>
          <w:highlight w:val="none"/>
        </w:rPr>
      </w:pPr>
      <w:bookmarkStart w:id="229"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29"/>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2"/>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2"/>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2"/>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6"/>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r>
      <w:rPr>
        <w:rFonts w:hint="eastAsia"/>
        <w:lang w:val="en-US"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76</w:t>
                              </w:r>
                              <w:r>
                                <w:fldChar w:fldCharType="end"/>
                              </w:r>
                            </w:p>
                          </w:sdtContent>
                        </w:sdt>
                        <w:p>
                          <w:pPr>
                            <w:pStyle w:val="17"/>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76</w:t>
                        </w:r>
                        <w:r>
                          <w:fldChar w:fldCharType="end"/>
                        </w:r>
                      </w:p>
                    </w:sdtContent>
                  </w:sdt>
                  <w:p>
                    <w:pPr>
                      <w:pStyle w:val="17"/>
                    </w:pPr>
                  </w:p>
                </w:txbxContent>
              </v:textbox>
            </v:shape>
          </w:pict>
        </mc:Fallback>
      </mc:AlternateContent>
    </w:r>
  </w:p>
  <w:p>
    <w:pPr>
      <w:pStyle w:val="2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rPr>
        <w:rFonts w:ascii="楷体_GB2312" w:eastAsia="楷体_GB2312"/>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431CBB"/>
    <w:rsid w:val="015E0632"/>
    <w:rsid w:val="01C35271"/>
    <w:rsid w:val="01F976D7"/>
    <w:rsid w:val="0233386D"/>
    <w:rsid w:val="024A7B1C"/>
    <w:rsid w:val="02505BBF"/>
    <w:rsid w:val="02634255"/>
    <w:rsid w:val="02886218"/>
    <w:rsid w:val="02942E4F"/>
    <w:rsid w:val="03341722"/>
    <w:rsid w:val="038E4979"/>
    <w:rsid w:val="039A4DF7"/>
    <w:rsid w:val="03D219A8"/>
    <w:rsid w:val="04504BAA"/>
    <w:rsid w:val="046E1FF1"/>
    <w:rsid w:val="04A465CA"/>
    <w:rsid w:val="04A83D5C"/>
    <w:rsid w:val="04AB3E06"/>
    <w:rsid w:val="04D2457A"/>
    <w:rsid w:val="0529159F"/>
    <w:rsid w:val="052971A9"/>
    <w:rsid w:val="056D53F7"/>
    <w:rsid w:val="05845F97"/>
    <w:rsid w:val="05A625A8"/>
    <w:rsid w:val="05AF3B52"/>
    <w:rsid w:val="05E90EAB"/>
    <w:rsid w:val="05F23A3F"/>
    <w:rsid w:val="0627655E"/>
    <w:rsid w:val="06284810"/>
    <w:rsid w:val="062E0F1B"/>
    <w:rsid w:val="068A0CFC"/>
    <w:rsid w:val="068A7901"/>
    <w:rsid w:val="068B011B"/>
    <w:rsid w:val="0701218C"/>
    <w:rsid w:val="07421F74"/>
    <w:rsid w:val="07C949EF"/>
    <w:rsid w:val="07F20B13"/>
    <w:rsid w:val="08000695"/>
    <w:rsid w:val="093E2FA0"/>
    <w:rsid w:val="09673E3C"/>
    <w:rsid w:val="09E779EB"/>
    <w:rsid w:val="0A7A0DEE"/>
    <w:rsid w:val="0A8F788E"/>
    <w:rsid w:val="0AAE4A96"/>
    <w:rsid w:val="0AC666F4"/>
    <w:rsid w:val="0B446DD0"/>
    <w:rsid w:val="0BE24C15"/>
    <w:rsid w:val="0BFE1539"/>
    <w:rsid w:val="0C3628D7"/>
    <w:rsid w:val="0CD3116D"/>
    <w:rsid w:val="0D380AEA"/>
    <w:rsid w:val="0D386468"/>
    <w:rsid w:val="0D6E6CE6"/>
    <w:rsid w:val="0E06452B"/>
    <w:rsid w:val="0E4A77DC"/>
    <w:rsid w:val="0E577D2E"/>
    <w:rsid w:val="0E6F3E7F"/>
    <w:rsid w:val="0E713A23"/>
    <w:rsid w:val="0E87566C"/>
    <w:rsid w:val="0E9F5982"/>
    <w:rsid w:val="0EB94C51"/>
    <w:rsid w:val="0ED14AB9"/>
    <w:rsid w:val="0EE76E01"/>
    <w:rsid w:val="0F16079E"/>
    <w:rsid w:val="0F856602"/>
    <w:rsid w:val="0FF10C12"/>
    <w:rsid w:val="100D7F0C"/>
    <w:rsid w:val="10230F9F"/>
    <w:rsid w:val="105869E8"/>
    <w:rsid w:val="11081A68"/>
    <w:rsid w:val="111B15B3"/>
    <w:rsid w:val="11FF551A"/>
    <w:rsid w:val="12004308"/>
    <w:rsid w:val="12187FE5"/>
    <w:rsid w:val="121C71A1"/>
    <w:rsid w:val="125A3535"/>
    <w:rsid w:val="12A52565"/>
    <w:rsid w:val="12CC61CB"/>
    <w:rsid w:val="12F2507E"/>
    <w:rsid w:val="136B7B23"/>
    <w:rsid w:val="13CF39F0"/>
    <w:rsid w:val="144900B5"/>
    <w:rsid w:val="14562003"/>
    <w:rsid w:val="14B85155"/>
    <w:rsid w:val="14DC364E"/>
    <w:rsid w:val="152534E9"/>
    <w:rsid w:val="15722832"/>
    <w:rsid w:val="16980C4D"/>
    <w:rsid w:val="171E7F58"/>
    <w:rsid w:val="17C42F61"/>
    <w:rsid w:val="18433A70"/>
    <w:rsid w:val="18695DE3"/>
    <w:rsid w:val="18FE400A"/>
    <w:rsid w:val="195F062F"/>
    <w:rsid w:val="19865777"/>
    <w:rsid w:val="199267D4"/>
    <w:rsid w:val="1A1230F5"/>
    <w:rsid w:val="1A7C33E6"/>
    <w:rsid w:val="1A932AD1"/>
    <w:rsid w:val="1ABF7F3C"/>
    <w:rsid w:val="1ADF74F2"/>
    <w:rsid w:val="1B783147"/>
    <w:rsid w:val="1BE11CE9"/>
    <w:rsid w:val="1C2D1651"/>
    <w:rsid w:val="1C6B059D"/>
    <w:rsid w:val="1CB32E02"/>
    <w:rsid w:val="1CF37E7A"/>
    <w:rsid w:val="1D0E6F59"/>
    <w:rsid w:val="1DA85478"/>
    <w:rsid w:val="1DD23B6F"/>
    <w:rsid w:val="1DD3548B"/>
    <w:rsid w:val="1DED21D8"/>
    <w:rsid w:val="1E470A31"/>
    <w:rsid w:val="1E763FBB"/>
    <w:rsid w:val="1E7B1372"/>
    <w:rsid w:val="1EAB0E98"/>
    <w:rsid w:val="1F0E3DA5"/>
    <w:rsid w:val="1F1442A1"/>
    <w:rsid w:val="1F7F74E9"/>
    <w:rsid w:val="1FB2006F"/>
    <w:rsid w:val="202F2035"/>
    <w:rsid w:val="205F5ACC"/>
    <w:rsid w:val="20CE49AC"/>
    <w:rsid w:val="217F21D3"/>
    <w:rsid w:val="2180567D"/>
    <w:rsid w:val="21C61BB0"/>
    <w:rsid w:val="21ED35E0"/>
    <w:rsid w:val="22C35EAF"/>
    <w:rsid w:val="22C80A00"/>
    <w:rsid w:val="22C975B7"/>
    <w:rsid w:val="22DD59F0"/>
    <w:rsid w:val="22F75C0D"/>
    <w:rsid w:val="23064301"/>
    <w:rsid w:val="230C5CE8"/>
    <w:rsid w:val="23DB58A8"/>
    <w:rsid w:val="23EC2634"/>
    <w:rsid w:val="23F064FA"/>
    <w:rsid w:val="241053A1"/>
    <w:rsid w:val="2432177F"/>
    <w:rsid w:val="245060A9"/>
    <w:rsid w:val="24C20D54"/>
    <w:rsid w:val="25114177"/>
    <w:rsid w:val="25C96113"/>
    <w:rsid w:val="25DC4792"/>
    <w:rsid w:val="26097A28"/>
    <w:rsid w:val="268E66B0"/>
    <w:rsid w:val="26C7241E"/>
    <w:rsid w:val="26CB345B"/>
    <w:rsid w:val="26CC5F32"/>
    <w:rsid w:val="271D4472"/>
    <w:rsid w:val="271D5F0A"/>
    <w:rsid w:val="27380A52"/>
    <w:rsid w:val="27512060"/>
    <w:rsid w:val="276C144B"/>
    <w:rsid w:val="27E44D0D"/>
    <w:rsid w:val="27FA718D"/>
    <w:rsid w:val="287D3B77"/>
    <w:rsid w:val="288C0557"/>
    <w:rsid w:val="290F7096"/>
    <w:rsid w:val="29572720"/>
    <w:rsid w:val="29785528"/>
    <w:rsid w:val="29B91980"/>
    <w:rsid w:val="29FE0832"/>
    <w:rsid w:val="2A03289A"/>
    <w:rsid w:val="2A1738F0"/>
    <w:rsid w:val="2A7C761D"/>
    <w:rsid w:val="2A956595"/>
    <w:rsid w:val="2AA74552"/>
    <w:rsid w:val="2B0F6376"/>
    <w:rsid w:val="2B150AFA"/>
    <w:rsid w:val="2B1A7EED"/>
    <w:rsid w:val="2BAA0794"/>
    <w:rsid w:val="2C0B2FF9"/>
    <w:rsid w:val="2C215763"/>
    <w:rsid w:val="2C4F7571"/>
    <w:rsid w:val="2C595A50"/>
    <w:rsid w:val="2C6F6E1A"/>
    <w:rsid w:val="2D0D3F02"/>
    <w:rsid w:val="2D8065EB"/>
    <w:rsid w:val="2DCF44E2"/>
    <w:rsid w:val="2DE60E55"/>
    <w:rsid w:val="2E1B296B"/>
    <w:rsid w:val="2E262354"/>
    <w:rsid w:val="2E552C39"/>
    <w:rsid w:val="2E91066C"/>
    <w:rsid w:val="2EE73FC3"/>
    <w:rsid w:val="2F5015CC"/>
    <w:rsid w:val="2F716E18"/>
    <w:rsid w:val="2F8301FF"/>
    <w:rsid w:val="300A4285"/>
    <w:rsid w:val="300B11EA"/>
    <w:rsid w:val="307C1216"/>
    <w:rsid w:val="30843362"/>
    <w:rsid w:val="30CA6DC7"/>
    <w:rsid w:val="310060D1"/>
    <w:rsid w:val="31614243"/>
    <w:rsid w:val="323B399B"/>
    <w:rsid w:val="326276D3"/>
    <w:rsid w:val="32701EF4"/>
    <w:rsid w:val="327373DF"/>
    <w:rsid w:val="32B258B7"/>
    <w:rsid w:val="33900F89"/>
    <w:rsid w:val="339A10EE"/>
    <w:rsid w:val="33B757FC"/>
    <w:rsid w:val="33B83430"/>
    <w:rsid w:val="3437693D"/>
    <w:rsid w:val="34F4272D"/>
    <w:rsid w:val="34FA5C45"/>
    <w:rsid w:val="35706796"/>
    <w:rsid w:val="35A55262"/>
    <w:rsid w:val="35C91DF7"/>
    <w:rsid w:val="36623A07"/>
    <w:rsid w:val="368E7B3A"/>
    <w:rsid w:val="3699568D"/>
    <w:rsid w:val="36BF48E5"/>
    <w:rsid w:val="36CA5847"/>
    <w:rsid w:val="37141D64"/>
    <w:rsid w:val="371F2036"/>
    <w:rsid w:val="37602AF2"/>
    <w:rsid w:val="37FA4622"/>
    <w:rsid w:val="3816405B"/>
    <w:rsid w:val="38593F37"/>
    <w:rsid w:val="38A7470F"/>
    <w:rsid w:val="38C26B8B"/>
    <w:rsid w:val="392A3F1E"/>
    <w:rsid w:val="3A694D6F"/>
    <w:rsid w:val="3A7E52C6"/>
    <w:rsid w:val="3A9E1102"/>
    <w:rsid w:val="3AA6016F"/>
    <w:rsid w:val="3AC57D1E"/>
    <w:rsid w:val="3AF236EA"/>
    <w:rsid w:val="3B273268"/>
    <w:rsid w:val="3B325E0E"/>
    <w:rsid w:val="3B626996"/>
    <w:rsid w:val="3B787F67"/>
    <w:rsid w:val="3B9C25DB"/>
    <w:rsid w:val="3BBB2D8E"/>
    <w:rsid w:val="3C0C41CA"/>
    <w:rsid w:val="3C6C5B13"/>
    <w:rsid w:val="3C9932CE"/>
    <w:rsid w:val="3D3B749E"/>
    <w:rsid w:val="3DB03FCF"/>
    <w:rsid w:val="3DDE7B5E"/>
    <w:rsid w:val="3DF276BA"/>
    <w:rsid w:val="3DFC38D5"/>
    <w:rsid w:val="3E1E016D"/>
    <w:rsid w:val="3E280DCC"/>
    <w:rsid w:val="3E442382"/>
    <w:rsid w:val="3E8128AE"/>
    <w:rsid w:val="3ED25651"/>
    <w:rsid w:val="3EE746A5"/>
    <w:rsid w:val="3FC312FA"/>
    <w:rsid w:val="402D6024"/>
    <w:rsid w:val="40442077"/>
    <w:rsid w:val="405F5F3D"/>
    <w:rsid w:val="40724C8A"/>
    <w:rsid w:val="407B4428"/>
    <w:rsid w:val="40BE1D68"/>
    <w:rsid w:val="41245898"/>
    <w:rsid w:val="417C1216"/>
    <w:rsid w:val="41970A1B"/>
    <w:rsid w:val="419C088D"/>
    <w:rsid w:val="41A5138A"/>
    <w:rsid w:val="41D775CC"/>
    <w:rsid w:val="421C2D0B"/>
    <w:rsid w:val="423B7BF3"/>
    <w:rsid w:val="42564F1D"/>
    <w:rsid w:val="42811435"/>
    <w:rsid w:val="42A17421"/>
    <w:rsid w:val="42A81B49"/>
    <w:rsid w:val="42B86E9B"/>
    <w:rsid w:val="431762B8"/>
    <w:rsid w:val="43521E0D"/>
    <w:rsid w:val="43B241F5"/>
    <w:rsid w:val="43DD24AE"/>
    <w:rsid w:val="4420585E"/>
    <w:rsid w:val="4427077C"/>
    <w:rsid w:val="448252F0"/>
    <w:rsid w:val="450300EA"/>
    <w:rsid w:val="45534CF8"/>
    <w:rsid w:val="456E13BB"/>
    <w:rsid w:val="464F1B31"/>
    <w:rsid w:val="46B861C6"/>
    <w:rsid w:val="47A65E5C"/>
    <w:rsid w:val="47C00CCC"/>
    <w:rsid w:val="47D66741"/>
    <w:rsid w:val="48194B54"/>
    <w:rsid w:val="48C60564"/>
    <w:rsid w:val="48D159B4"/>
    <w:rsid w:val="49042E3A"/>
    <w:rsid w:val="49443B69"/>
    <w:rsid w:val="49470950"/>
    <w:rsid w:val="49494CF1"/>
    <w:rsid w:val="49974BFF"/>
    <w:rsid w:val="4A5E1642"/>
    <w:rsid w:val="4BA520B2"/>
    <w:rsid w:val="4BD50ABE"/>
    <w:rsid w:val="4C001FDF"/>
    <w:rsid w:val="4C1B3933"/>
    <w:rsid w:val="4CF51CDC"/>
    <w:rsid w:val="4DBD6AAD"/>
    <w:rsid w:val="4DC42B98"/>
    <w:rsid w:val="4E0968FA"/>
    <w:rsid w:val="4E611192"/>
    <w:rsid w:val="4EAF78C9"/>
    <w:rsid w:val="4EB94800"/>
    <w:rsid w:val="4F216BBF"/>
    <w:rsid w:val="4F945E00"/>
    <w:rsid w:val="4F9A62A6"/>
    <w:rsid w:val="4FD44A3C"/>
    <w:rsid w:val="50F32112"/>
    <w:rsid w:val="514D61C2"/>
    <w:rsid w:val="518A6447"/>
    <w:rsid w:val="52293911"/>
    <w:rsid w:val="522B5E7C"/>
    <w:rsid w:val="523E5075"/>
    <w:rsid w:val="52421257"/>
    <w:rsid w:val="527514EF"/>
    <w:rsid w:val="531558BC"/>
    <w:rsid w:val="53470B4A"/>
    <w:rsid w:val="53C90724"/>
    <w:rsid w:val="53EB539E"/>
    <w:rsid w:val="5422054D"/>
    <w:rsid w:val="54A320E7"/>
    <w:rsid w:val="54D11CCC"/>
    <w:rsid w:val="550B6A44"/>
    <w:rsid w:val="55120D38"/>
    <w:rsid w:val="55CD509B"/>
    <w:rsid w:val="55E42A1F"/>
    <w:rsid w:val="56014384"/>
    <w:rsid w:val="565B21A0"/>
    <w:rsid w:val="56710C02"/>
    <w:rsid w:val="568E7108"/>
    <w:rsid w:val="56CE6835"/>
    <w:rsid w:val="572A5C41"/>
    <w:rsid w:val="572B120F"/>
    <w:rsid w:val="57580F21"/>
    <w:rsid w:val="581D0BB1"/>
    <w:rsid w:val="58246C6C"/>
    <w:rsid w:val="5843302C"/>
    <w:rsid w:val="584828C6"/>
    <w:rsid w:val="58FA10C1"/>
    <w:rsid w:val="59A23A51"/>
    <w:rsid w:val="59B73BAB"/>
    <w:rsid w:val="59C363FA"/>
    <w:rsid w:val="5A113609"/>
    <w:rsid w:val="5A272B8F"/>
    <w:rsid w:val="5AC972D7"/>
    <w:rsid w:val="5ACA4DFD"/>
    <w:rsid w:val="5B0176E4"/>
    <w:rsid w:val="5B3915C3"/>
    <w:rsid w:val="5B9A423C"/>
    <w:rsid w:val="5BC902FB"/>
    <w:rsid w:val="5C375766"/>
    <w:rsid w:val="5C3F4F6D"/>
    <w:rsid w:val="5D445AA3"/>
    <w:rsid w:val="5DD06436"/>
    <w:rsid w:val="5E714676"/>
    <w:rsid w:val="5E9D546B"/>
    <w:rsid w:val="5EAD0BB0"/>
    <w:rsid w:val="5ED209B4"/>
    <w:rsid w:val="5F575DAD"/>
    <w:rsid w:val="5F690E4C"/>
    <w:rsid w:val="601F69F6"/>
    <w:rsid w:val="60752C67"/>
    <w:rsid w:val="612754C0"/>
    <w:rsid w:val="613A3445"/>
    <w:rsid w:val="616049DB"/>
    <w:rsid w:val="61831D11"/>
    <w:rsid w:val="61C14B50"/>
    <w:rsid w:val="61DC2CD7"/>
    <w:rsid w:val="61FE3C40"/>
    <w:rsid w:val="6235591B"/>
    <w:rsid w:val="62395966"/>
    <w:rsid w:val="62B17737"/>
    <w:rsid w:val="63415520"/>
    <w:rsid w:val="636150A9"/>
    <w:rsid w:val="637D05D7"/>
    <w:rsid w:val="637E1680"/>
    <w:rsid w:val="63EE6769"/>
    <w:rsid w:val="640F0BB9"/>
    <w:rsid w:val="646C70CD"/>
    <w:rsid w:val="650F19B1"/>
    <w:rsid w:val="6562503C"/>
    <w:rsid w:val="663B22BC"/>
    <w:rsid w:val="663F7051"/>
    <w:rsid w:val="664820E2"/>
    <w:rsid w:val="66A9597C"/>
    <w:rsid w:val="66AB3A44"/>
    <w:rsid w:val="66C876C1"/>
    <w:rsid w:val="670F4827"/>
    <w:rsid w:val="676A4F57"/>
    <w:rsid w:val="67B5251D"/>
    <w:rsid w:val="67C365D4"/>
    <w:rsid w:val="67E548D9"/>
    <w:rsid w:val="687716F6"/>
    <w:rsid w:val="690D143F"/>
    <w:rsid w:val="69713AF2"/>
    <w:rsid w:val="69F745C9"/>
    <w:rsid w:val="6A0359B4"/>
    <w:rsid w:val="6A114F5F"/>
    <w:rsid w:val="6A65190A"/>
    <w:rsid w:val="6B051551"/>
    <w:rsid w:val="6B25645F"/>
    <w:rsid w:val="6BB74E52"/>
    <w:rsid w:val="6BEA3CC1"/>
    <w:rsid w:val="6C040369"/>
    <w:rsid w:val="6C8C6991"/>
    <w:rsid w:val="6CCF512C"/>
    <w:rsid w:val="6E65769A"/>
    <w:rsid w:val="6EFA0BA6"/>
    <w:rsid w:val="6F044005"/>
    <w:rsid w:val="6F5C2AB8"/>
    <w:rsid w:val="6FB40D90"/>
    <w:rsid w:val="6FBD737D"/>
    <w:rsid w:val="70AE3C96"/>
    <w:rsid w:val="70E01533"/>
    <w:rsid w:val="70E114A5"/>
    <w:rsid w:val="71235408"/>
    <w:rsid w:val="714E5FA0"/>
    <w:rsid w:val="71593474"/>
    <w:rsid w:val="72442975"/>
    <w:rsid w:val="72B02765"/>
    <w:rsid w:val="72FD69EC"/>
    <w:rsid w:val="73965D07"/>
    <w:rsid w:val="739E3D02"/>
    <w:rsid w:val="73BD1BDB"/>
    <w:rsid w:val="740551C7"/>
    <w:rsid w:val="74A159DA"/>
    <w:rsid w:val="74A81D8A"/>
    <w:rsid w:val="756E3C30"/>
    <w:rsid w:val="75FF5737"/>
    <w:rsid w:val="76796366"/>
    <w:rsid w:val="769D686B"/>
    <w:rsid w:val="77662A1A"/>
    <w:rsid w:val="78064733"/>
    <w:rsid w:val="781656AF"/>
    <w:rsid w:val="78FC0EC8"/>
    <w:rsid w:val="792602AC"/>
    <w:rsid w:val="7A034A4E"/>
    <w:rsid w:val="7A3A36CD"/>
    <w:rsid w:val="7A4153ED"/>
    <w:rsid w:val="7ABD27F2"/>
    <w:rsid w:val="7ADE0C6C"/>
    <w:rsid w:val="7AE75AE5"/>
    <w:rsid w:val="7B7A36AA"/>
    <w:rsid w:val="7B9E6ACC"/>
    <w:rsid w:val="7BF546E1"/>
    <w:rsid w:val="7C1A6B80"/>
    <w:rsid w:val="7C4D62CB"/>
    <w:rsid w:val="7C5424EB"/>
    <w:rsid w:val="7CB9570E"/>
    <w:rsid w:val="7D897DBC"/>
    <w:rsid w:val="7D8C30D2"/>
    <w:rsid w:val="7DFF5695"/>
    <w:rsid w:val="7E3037AE"/>
    <w:rsid w:val="7E3D56A8"/>
    <w:rsid w:val="7E435CE9"/>
    <w:rsid w:val="7EEB12D3"/>
    <w:rsid w:val="7F0402B4"/>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unhideWhenUsed/>
    <w:qFormat/>
    <w:uiPriority w:val="1"/>
  </w:style>
  <w:style w:type="table" w:default="1" w:styleId="42">
    <w:name w:val="Normal Table"/>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jc w:val="left"/>
    </w:pPr>
    <w:rPr>
      <w:rFonts w:eastAsia="黑体" w:asciiTheme="minorEastAsia" w:hAnsiTheme="minorEastAsia"/>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Char"/>
    <w:basedOn w:val="44"/>
    <w:link w:val="3"/>
    <w:qFormat/>
    <w:uiPriority w:val="0"/>
    <w:rPr>
      <w:rFonts w:ascii="Times New Roman" w:hAnsi="Times New Roman" w:eastAsia="宋体" w:cs="Times New Roman"/>
      <w:b/>
      <w:bCs/>
      <w:sz w:val="24"/>
      <w:szCs w:val="20"/>
    </w:rPr>
  </w:style>
  <w:style w:type="character" w:customStyle="1" w:styleId="51">
    <w:name w:val="标题 2 Char"/>
    <w:basedOn w:val="44"/>
    <w:link w:val="4"/>
    <w:qFormat/>
    <w:uiPriority w:val="0"/>
    <w:rPr>
      <w:rFonts w:ascii="Arial" w:hAnsi="Arial" w:eastAsia="方正小标宋简体" w:cs="Times New Roman"/>
      <w:b/>
      <w:bCs/>
      <w:kern w:val="2"/>
      <w:sz w:val="44"/>
      <w:szCs w:val="32"/>
    </w:rPr>
  </w:style>
  <w:style w:type="character" w:customStyle="1" w:styleId="52">
    <w:name w:val="标题 3 Char"/>
    <w:basedOn w:val="44"/>
    <w:link w:val="5"/>
    <w:qFormat/>
    <w:uiPriority w:val="0"/>
    <w:rPr>
      <w:rFonts w:ascii="Times New Roman" w:hAnsi="Times New Roman" w:eastAsia="黑体" w:cs="Times New Roman"/>
      <w:b/>
      <w:bCs/>
      <w:kern w:val="2"/>
      <w:sz w:val="32"/>
      <w:szCs w:val="32"/>
    </w:rPr>
  </w:style>
  <w:style w:type="character" w:customStyle="1" w:styleId="53">
    <w:name w:val="标题 4 Char"/>
    <w:basedOn w:val="44"/>
    <w:link w:val="6"/>
    <w:qFormat/>
    <w:uiPriority w:val="0"/>
    <w:rPr>
      <w:rFonts w:ascii="Arial" w:hAnsi="Arial" w:eastAsia="黑体" w:cs="Times New Roman"/>
      <w:b/>
      <w:bCs/>
      <w:sz w:val="28"/>
      <w:szCs w:val="28"/>
    </w:rPr>
  </w:style>
  <w:style w:type="character" w:customStyle="1" w:styleId="54">
    <w:name w:val="标题 5 Char"/>
    <w:basedOn w:val="44"/>
    <w:link w:val="7"/>
    <w:qFormat/>
    <w:uiPriority w:val="0"/>
    <w:rPr>
      <w:rFonts w:ascii="Times New Roman" w:hAnsi="Times New Roman" w:eastAsia="宋体" w:cs="Times New Roman"/>
      <w:b/>
      <w:bCs/>
      <w:kern w:val="0"/>
      <w:sz w:val="28"/>
      <w:szCs w:val="28"/>
    </w:rPr>
  </w:style>
  <w:style w:type="character" w:customStyle="1" w:styleId="55">
    <w:name w:val="标题 6 Char"/>
    <w:basedOn w:val="44"/>
    <w:link w:val="8"/>
    <w:qFormat/>
    <w:uiPriority w:val="0"/>
    <w:rPr>
      <w:rFonts w:ascii="Arial" w:hAnsi="Arial" w:eastAsia="黑体" w:cs="Times New Roman"/>
      <w:b/>
      <w:bCs/>
      <w:kern w:val="0"/>
      <w:sz w:val="24"/>
      <w:szCs w:val="24"/>
    </w:rPr>
  </w:style>
  <w:style w:type="character" w:customStyle="1" w:styleId="56">
    <w:name w:val="标题 7 Char"/>
    <w:basedOn w:val="44"/>
    <w:link w:val="9"/>
    <w:qFormat/>
    <w:uiPriority w:val="0"/>
    <w:rPr>
      <w:rFonts w:ascii="Times New Roman" w:hAnsi="Times New Roman" w:eastAsia="宋体" w:cs="Times New Roman"/>
      <w:b/>
      <w:bCs/>
      <w:kern w:val="0"/>
      <w:sz w:val="24"/>
      <w:szCs w:val="24"/>
    </w:rPr>
  </w:style>
  <w:style w:type="character" w:customStyle="1" w:styleId="57">
    <w:name w:val="标题 8 Char"/>
    <w:basedOn w:val="44"/>
    <w:link w:val="10"/>
    <w:qFormat/>
    <w:uiPriority w:val="0"/>
    <w:rPr>
      <w:rFonts w:ascii="Arial" w:hAnsi="Arial" w:eastAsia="黑体" w:cs="Times New Roman"/>
      <w:kern w:val="0"/>
      <w:sz w:val="24"/>
      <w:szCs w:val="24"/>
    </w:rPr>
  </w:style>
  <w:style w:type="character" w:customStyle="1" w:styleId="58">
    <w:name w:val="标题 9 Char"/>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Char"/>
    <w:basedOn w:val="44"/>
    <w:link w:val="17"/>
    <w:qFormat/>
    <w:uiPriority w:val="0"/>
    <w:rPr>
      <w:rFonts w:ascii="Times New Roman" w:hAnsi="Times New Roman" w:eastAsia="宋体" w:cs="Times New Roman"/>
      <w:szCs w:val="24"/>
    </w:rPr>
  </w:style>
  <w:style w:type="character" w:customStyle="1" w:styleId="61">
    <w:name w:val="页脚 Char"/>
    <w:basedOn w:val="44"/>
    <w:link w:val="27"/>
    <w:qFormat/>
    <w:uiPriority w:val="99"/>
    <w:rPr>
      <w:rFonts w:ascii="Times New Roman" w:hAnsi="Times New Roman" w:eastAsia="宋体" w:cs="Times New Roman"/>
      <w:sz w:val="18"/>
      <w:szCs w:val="18"/>
    </w:rPr>
  </w:style>
  <w:style w:type="character" w:customStyle="1" w:styleId="62">
    <w:name w:val="页眉 Char"/>
    <w:basedOn w:val="44"/>
    <w:link w:val="28"/>
    <w:qFormat/>
    <w:uiPriority w:val="99"/>
    <w:rPr>
      <w:rFonts w:ascii="Times New Roman" w:hAnsi="Times New Roman" w:eastAsia="宋体" w:cs="Times New Roman"/>
      <w:sz w:val="18"/>
      <w:szCs w:val="18"/>
    </w:rPr>
  </w:style>
  <w:style w:type="character" w:customStyle="1" w:styleId="63">
    <w:name w:val="正文文本缩进 Char"/>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4"/>
    <w:link w:val="22"/>
    <w:qFormat/>
    <w:uiPriority w:val="0"/>
    <w:rPr>
      <w:rFonts w:ascii="宋体" w:hAnsi="Courier New" w:eastAsia="宋体" w:cs="Courier New"/>
      <w:szCs w:val="21"/>
    </w:rPr>
  </w:style>
  <w:style w:type="character" w:customStyle="1" w:styleId="66">
    <w:name w:val="批注文字 Char"/>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4"/>
    <w:link w:val="37"/>
    <w:qFormat/>
    <w:uiPriority w:val="0"/>
    <w:rPr>
      <w:rFonts w:ascii="Arial" w:hAnsi="Arial" w:eastAsia="宋体" w:cs="Arial"/>
      <w:kern w:val="0"/>
      <w:sz w:val="24"/>
      <w:szCs w:val="24"/>
    </w:rPr>
  </w:style>
  <w:style w:type="character" w:customStyle="1" w:styleId="71">
    <w:name w:val="称呼 Char"/>
    <w:basedOn w:val="44"/>
    <w:link w:val="16"/>
    <w:qFormat/>
    <w:uiPriority w:val="0"/>
    <w:rPr>
      <w:rFonts w:ascii="仿宋_GB2312" w:hAnsi="Times New Roman" w:eastAsia="仿宋_GB2312" w:cs="Times New Roman"/>
      <w:sz w:val="24"/>
      <w:szCs w:val="24"/>
    </w:rPr>
  </w:style>
  <w:style w:type="character" w:customStyle="1" w:styleId="72">
    <w:name w:val="正文文本 2 Char"/>
    <w:basedOn w:val="44"/>
    <w:link w:val="36"/>
    <w:qFormat/>
    <w:uiPriority w:val="0"/>
    <w:rPr>
      <w:rFonts w:ascii="Times New Roman" w:hAnsi="Times New Roman" w:eastAsia="宋体" w:cs="Times New Roman"/>
      <w:szCs w:val="24"/>
    </w:rPr>
  </w:style>
  <w:style w:type="character" w:customStyle="1" w:styleId="73">
    <w:name w:val="正文文本缩进 2 Char"/>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4"/>
    <w:link w:val="33"/>
    <w:qFormat/>
    <w:uiPriority w:val="0"/>
    <w:rPr>
      <w:rFonts w:ascii="Times New Roman" w:hAnsi="Times New Roman" w:eastAsia="宋体" w:cs="Times New Roman"/>
      <w:sz w:val="16"/>
      <w:szCs w:val="16"/>
    </w:rPr>
  </w:style>
  <w:style w:type="character" w:customStyle="1" w:styleId="76">
    <w:name w:val="日期 Char"/>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6"/>
    <w:link w:val="41"/>
    <w:qFormat/>
    <w:uiPriority w:val="0"/>
    <w:rPr>
      <w:rFonts w:ascii="Times New Roman" w:hAnsi="Times New Roman" w:eastAsia="宋体" w:cs="Times New Roman"/>
      <w:b/>
      <w:bCs/>
      <w:szCs w:val="24"/>
    </w:rPr>
  </w:style>
  <w:style w:type="character" w:customStyle="1" w:styleId="89">
    <w:name w:val="批注框文本 Char"/>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Char1"/>
    <w:link w:val="31"/>
    <w:qFormat/>
    <w:uiPriority w:val="0"/>
    <w:rPr>
      <w:rFonts w:ascii="等线 Light" w:hAnsi="等线 Light" w:eastAsia="宋体" w:cs="Times New Roman"/>
      <w:b/>
      <w:bCs/>
      <w:kern w:val="28"/>
      <w:sz w:val="32"/>
      <w:szCs w:val="32"/>
    </w:rPr>
  </w:style>
  <w:style w:type="character" w:customStyle="1" w:styleId="143">
    <w:name w:val="未处理的提及1"/>
    <w:basedOn w:val="44"/>
    <w:unhideWhenUsed/>
    <w:qFormat/>
    <w:uiPriority w:val="99"/>
    <w:rPr>
      <w:color w:val="605E5C"/>
      <w:shd w:val="clear" w:color="auto" w:fill="E1DFDD"/>
    </w:rPr>
  </w:style>
  <w:style w:type="character" w:customStyle="1" w:styleId="144">
    <w:name w:val="未处理的提及2"/>
    <w:basedOn w:val="44"/>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4"/>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4"/>
    <w:unhideWhenUsed/>
    <w:qFormat/>
    <w:uiPriority w:val="99"/>
    <w:rPr>
      <w:color w:val="605E5C"/>
      <w:shd w:val="clear" w:color="auto" w:fill="E1DFDD"/>
    </w:rPr>
  </w:style>
  <w:style w:type="character" w:customStyle="1" w:styleId="151">
    <w:name w:val="font51"/>
    <w:basedOn w:val="44"/>
    <w:qFormat/>
    <w:uiPriority w:val="0"/>
    <w:rPr>
      <w:rFonts w:hint="eastAsia" w:ascii="宋体" w:hAnsi="宋体" w:eastAsia="宋体" w:cs="宋体"/>
      <w:color w:val="000000"/>
      <w:sz w:val="22"/>
      <w:szCs w:val="22"/>
      <w:u w:val="none"/>
    </w:rPr>
  </w:style>
  <w:style w:type="character" w:customStyle="1" w:styleId="152">
    <w:name w:val="font61"/>
    <w:basedOn w:val="44"/>
    <w:qFormat/>
    <w:uiPriority w:val="0"/>
    <w:rPr>
      <w:rFonts w:hint="default" w:ascii="Times New Roman" w:hAnsi="Times New Roman" w:cs="Times New Roman"/>
      <w:color w:val="000000"/>
      <w:sz w:val="24"/>
      <w:szCs w:val="24"/>
      <w:u w:val="none"/>
    </w:rPr>
  </w:style>
  <w:style w:type="character" w:customStyle="1" w:styleId="153">
    <w:name w:val="font71"/>
    <w:basedOn w:val="44"/>
    <w:qFormat/>
    <w:uiPriority w:val="0"/>
    <w:rPr>
      <w:rFonts w:hint="eastAsia" w:ascii="宋体" w:hAnsi="宋体" w:eastAsia="宋体" w:cs="宋体"/>
      <w:color w:val="000000"/>
      <w:sz w:val="24"/>
      <w:szCs w:val="24"/>
      <w:u w:val="none"/>
    </w:rPr>
  </w:style>
  <w:style w:type="character" w:customStyle="1" w:styleId="154">
    <w:name w:val="font31"/>
    <w:basedOn w:val="44"/>
    <w:qFormat/>
    <w:uiPriority w:val="0"/>
    <w:rPr>
      <w:rFonts w:hint="eastAsia" w:ascii="宋体" w:hAnsi="宋体" w:eastAsia="宋体" w:cs="宋体"/>
      <w:color w:val="000000"/>
      <w:sz w:val="24"/>
      <w:szCs w:val="24"/>
      <w:u w:val="none"/>
    </w:rPr>
  </w:style>
  <w:style w:type="character" w:customStyle="1" w:styleId="155">
    <w:name w:val="font01"/>
    <w:basedOn w:val="44"/>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4"/>
    <w:qFormat/>
    <w:uiPriority w:val="0"/>
    <w:rPr>
      <w:rFonts w:hint="default" w:ascii="Times New Roman" w:hAnsi="Times New Roman" w:cs="Times New Roman"/>
      <w:color w:val="000000"/>
      <w:sz w:val="24"/>
      <w:szCs w:val="24"/>
      <w:u w:val="none"/>
    </w:rPr>
  </w:style>
  <w:style w:type="character" w:customStyle="1" w:styleId="159">
    <w:name w:val="font11"/>
    <w:basedOn w:val="44"/>
    <w:qFormat/>
    <w:uiPriority w:val="0"/>
    <w:rPr>
      <w:rFonts w:hint="eastAsia" w:ascii="宋体" w:hAnsi="宋体" w:eastAsia="宋体" w:cs="宋体"/>
      <w:color w:val="000000"/>
      <w:sz w:val="24"/>
      <w:szCs w:val="24"/>
      <w:u w:val="none"/>
    </w:rPr>
  </w:style>
  <w:style w:type="character" w:customStyle="1" w:styleId="160">
    <w:name w:val="font121"/>
    <w:basedOn w:val="44"/>
    <w:qFormat/>
    <w:uiPriority w:val="0"/>
    <w:rPr>
      <w:rFonts w:hint="eastAsia" w:ascii="宋体" w:hAnsi="宋体" w:eastAsia="宋体" w:cs="宋体"/>
      <w:color w:val="000000"/>
      <w:sz w:val="40"/>
      <w:szCs w:val="40"/>
      <w:u w:val="none"/>
    </w:rPr>
  </w:style>
  <w:style w:type="character" w:customStyle="1" w:styleId="161">
    <w:name w:val="font41"/>
    <w:basedOn w:val="44"/>
    <w:qFormat/>
    <w:uiPriority w:val="0"/>
    <w:rPr>
      <w:rFonts w:hint="eastAsia" w:ascii="黑体" w:eastAsia="黑体" w:cs="黑体"/>
      <w:color w:val="000000"/>
      <w:sz w:val="20"/>
      <w:szCs w:val="20"/>
      <w:u w:val="none"/>
    </w:rPr>
  </w:style>
  <w:style w:type="character" w:customStyle="1" w:styleId="162">
    <w:name w:val="font101"/>
    <w:basedOn w:val="44"/>
    <w:qFormat/>
    <w:uiPriority w:val="0"/>
    <w:rPr>
      <w:rFonts w:ascii="Arial" w:hAnsi="Arial" w:cs="Arial"/>
      <w:color w:val="000000"/>
      <w:sz w:val="22"/>
      <w:szCs w:val="22"/>
      <w:u w:val="none"/>
    </w:rPr>
  </w:style>
  <w:style w:type="character" w:customStyle="1" w:styleId="163">
    <w:name w:val="font111"/>
    <w:basedOn w:val="44"/>
    <w:qFormat/>
    <w:uiPriority w:val="0"/>
    <w:rPr>
      <w:rFonts w:hint="eastAsia" w:ascii="宋体" w:hAnsi="宋体" w:eastAsia="宋体" w:cs="宋体"/>
      <w:color w:val="000000"/>
      <w:sz w:val="22"/>
      <w:szCs w:val="22"/>
      <w:u w:val="none"/>
    </w:rPr>
  </w:style>
  <w:style w:type="character" w:customStyle="1" w:styleId="164">
    <w:name w:val="font21"/>
    <w:basedOn w:val="44"/>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61</Pages>
  <Words>19995</Words>
  <Characters>21230</Characters>
  <Lines>339</Lines>
  <Paragraphs>95</Paragraphs>
  <TotalTime>0</TotalTime>
  <ScaleCrop>false</ScaleCrop>
  <LinksUpToDate>false</LinksUpToDate>
  <CharactersWithSpaces>23611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2025-05-09T10:05:00Z</cp:lastPrinted>
  <dcterms:modified xsi:type="dcterms:W3CDTF">2025-05-19T07:59:21Z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