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30887489"/>
      <w:bookmarkStart w:id="1" w:name="_Toc130657527"/>
      <w:bookmarkStart w:id="2" w:name="_Toc128397959"/>
      <w:bookmarkStart w:id="3" w:name="_Toc130886988"/>
      <w:bookmarkStart w:id="4" w:name="_Toc127820554"/>
      <w:bookmarkStart w:id="5" w:name="_Toc128150123"/>
      <w:bookmarkStart w:id="6" w:name="_Toc130657981"/>
      <w:bookmarkStart w:id="7" w:name="_Toc128151016"/>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2160" w:firstLineChars="6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val="en-US" w:eastAsia="zh-CN"/>
        </w:rPr>
        <w:t>双激光六色流式细胞仪</w:t>
      </w:r>
    </w:p>
    <w:p>
      <w:pPr>
        <w:pStyle w:val="22"/>
        <w:shd w:val="clear"/>
        <w:adjustRightInd w:val="0"/>
        <w:snapToGrid w:val="0"/>
        <w:spacing w:line="240" w:lineRule="atLeast"/>
        <w:ind w:left="0" w:leftChars="0" w:firstLine="2160" w:firstLineChars="600"/>
        <w:jc w:val="both"/>
        <w:rPr>
          <w:rFonts w:hint="default" w:hAnsi="宋体"/>
          <w:bCs/>
          <w:sz w:val="32"/>
          <w:szCs w:val="32"/>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val="en-US" w:eastAsia="zh-CN"/>
        </w:rPr>
        <w:t xml:space="preserve">2024-JQ06-W3624 </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0" w:name="_GoBack"/>
      <w:bookmarkEnd w:id="230"/>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9</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1</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6</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30661169"/>
      <w:bookmarkStart w:id="17" w:name="_Toc128154359"/>
      <w:bookmarkStart w:id="18" w:name="_Toc130887998"/>
      <w:bookmarkStart w:id="19" w:name="_Toc128470286"/>
      <w:bookmarkStart w:id="20" w:name="_Toc132191250"/>
      <w:bookmarkStart w:id="21" w:name="_Toc27201"/>
      <w:bookmarkStart w:id="22" w:name="_Toc132186966"/>
      <w:bookmarkStart w:id="23" w:name="_Toc112317780"/>
      <w:bookmarkStart w:id="24" w:name="_Toc30198"/>
      <w:bookmarkStart w:id="25" w:name="_Toc112768490"/>
      <w:bookmarkStart w:id="26" w:name="_Toc32290"/>
      <w:bookmarkStart w:id="27" w:name="_Toc20311"/>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双激光六色流式细胞仪</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49</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5</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9000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玖仟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11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6</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11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11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2186967"/>
      <w:bookmarkStart w:id="34" w:name="_Toc132191251"/>
      <w:bookmarkStart w:id="35" w:name="_Toc130661170"/>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双激光六色流式细胞仪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24</w:t>
      </w:r>
      <w:r>
        <w:rPr>
          <w:rFonts w:hint="eastAsia"/>
          <w:bCs/>
          <w:sz w:val="28"/>
          <w:szCs w:val="28"/>
          <w:highlight w:val="none"/>
          <w:lang w:val="en-US" w:eastAsia="zh-CN"/>
        </w:rPr>
        <w:t xml:space="preserve"> </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cs="Times New Roman"/>
                <w:bCs/>
                <w:kern w:val="2"/>
                <w:sz w:val="24"/>
                <w:szCs w:val="24"/>
                <w:highlight w:val="none"/>
                <w:lang w:val="en-US" w:eastAsia="zh-CN" w:bidi="ar-SA"/>
              </w:rPr>
              <w:t>报价供应商</w:t>
            </w:r>
            <w:r>
              <w:rPr>
                <w:rFonts w:hint="eastAsia" w:ascii="宋体" w:hAnsi="宋体" w:eastAsia="宋体" w:cs="Times New Roman"/>
                <w:bCs/>
                <w:kern w:val="2"/>
                <w:sz w:val="24"/>
                <w:szCs w:val="24"/>
                <w:highlight w:val="none"/>
                <w:lang w:val="en-US" w:eastAsia="zh-CN" w:bidi="ar-SA"/>
              </w:rPr>
              <w:t>须提供《医疗器械经营许可证》或经营备案凭证；企业住所或者生产地址为北京地区且销售其注册、备案的医疗器械，可提供《医疗器械生产许可证》。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32191252"/>
      <w:bookmarkStart w:id="38" w:name="_Toc128154361"/>
      <w:bookmarkStart w:id="39" w:name="_Toc130661171"/>
      <w:bookmarkStart w:id="40" w:name="_Toc130888000"/>
      <w:bookmarkStart w:id="41" w:name="_Toc16152"/>
      <w:bookmarkStart w:id="42" w:name="_Toc132186968"/>
      <w:bookmarkStart w:id="43" w:name="_Toc12847028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双激光六色流式细胞仪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24</w:t>
      </w:r>
      <w:r>
        <w:rPr>
          <w:rFonts w:hint="eastAsia"/>
          <w:bCs/>
          <w:sz w:val="28"/>
          <w:szCs w:val="28"/>
          <w:highlight w:val="none"/>
          <w:lang w:val="en-US" w:eastAsia="zh-CN"/>
        </w:rPr>
        <w:t xml:space="preserve">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24455"/>
      <w:bookmarkStart w:id="45" w:name="_Toc130888001"/>
      <w:bookmarkStart w:id="46" w:name="_Toc132186969"/>
      <w:bookmarkStart w:id="47" w:name="_Toc128470289"/>
      <w:bookmarkStart w:id="48" w:name="_Toc128154362"/>
      <w:bookmarkStart w:id="49" w:name="_Toc132191253"/>
      <w:bookmarkStart w:id="50" w:name="_Toc130661172"/>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32191254"/>
      <w:bookmarkStart w:id="53" w:name="_Toc128154363"/>
      <w:bookmarkStart w:id="54" w:name="_Toc130661173"/>
      <w:bookmarkStart w:id="55" w:name="_Toc130888002"/>
      <w:bookmarkStart w:id="56" w:name="_Toc132186970"/>
      <w:bookmarkStart w:id="57" w:name="_Toc128470290"/>
      <w:r>
        <w:rPr>
          <w:rFonts w:hint="eastAsia" w:ascii="黑体" w:hAnsi="黑体"/>
          <w:b w:val="0"/>
          <w:sz w:val="28"/>
          <w:szCs w:val="28"/>
          <w:highlight w:val="none"/>
        </w:rPr>
        <w:br w:type="page"/>
      </w:r>
    </w:p>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712"/>
        <w:gridCol w:w="3491"/>
        <w:gridCol w:w="671"/>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w:t>
            </w:r>
            <w:r>
              <w:rPr>
                <w:rFonts w:hint="eastAsia"/>
                <w:b/>
                <w:bCs/>
                <w:sz w:val="20"/>
                <w:szCs w:val="20"/>
                <w:lang w:val="en-US" w:eastAsia="zh-CN"/>
              </w:rPr>
              <w:t>项</w:t>
            </w:r>
            <w:r>
              <w:rPr>
                <w:rFonts w:hint="eastAsia"/>
                <w:b/>
                <w:bCs/>
                <w:sz w:val="20"/>
                <w:szCs w:val="20"/>
                <w:lang w:eastAsia="zh-CN"/>
              </w:rPr>
              <w:t>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sz w:val="22"/>
                <w:szCs w:val="22"/>
                <w:highlight w:val="none"/>
                <w:lang w:eastAsia="zh-CN"/>
              </w:rPr>
            </w:pPr>
          </w:p>
        </w:tc>
        <w:tc>
          <w:tcPr>
            <w:tcW w:w="2837" w:type="dxa"/>
            <w:vMerge w:val="restart"/>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1" w:hRule="atLeast"/>
          <w:jc w:val="center"/>
        </w:trPr>
        <w:tc>
          <w:tcPr>
            <w:tcW w:w="739" w:type="dxa"/>
            <w:vMerge w:val="continue"/>
            <w:tcBorders>
              <w:right w:val="single" w:color="auto" w:sz="4" w:space="0"/>
            </w:tcBorders>
            <w:vAlign w:val="center"/>
          </w:tcPr>
          <w:p>
            <w:pPr>
              <w:spacing w:line="300" w:lineRule="exact"/>
              <w:ind w:firstLine="420" w:firstLineChars="200"/>
              <w:jc w:val="left"/>
            </w:pPr>
          </w:p>
        </w:tc>
        <w:tc>
          <w:tcPr>
            <w:tcW w:w="846"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834"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712" w:type="dxa"/>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5</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349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lang w:val="en-US"/>
              </w:rPr>
            </w:pPr>
            <w:r>
              <w:rPr>
                <w:rFonts w:hint="eastAsia" w:asciiTheme="minorEastAsia" w:hAnsiTheme="minorEastAsia" w:eastAsiaTheme="minorEastAsia" w:cstheme="minorEastAsia"/>
                <w:kern w:val="2"/>
                <w:sz w:val="20"/>
                <w:szCs w:val="20"/>
                <w:highlight w:val="none"/>
                <w:lang w:val="zh-CN" w:eastAsia="zh-CN" w:bidi="ar-SA"/>
              </w:rPr>
              <w:t>▲</w:t>
            </w:r>
            <w:r>
              <w:rPr>
                <w:rFonts w:hint="eastAsia" w:asciiTheme="minorEastAsia" w:hAnsiTheme="minorEastAsia" w:eastAsiaTheme="minorEastAsia" w:cstheme="minorEastAsia"/>
                <w:kern w:val="2"/>
                <w:sz w:val="20"/>
                <w:szCs w:val="20"/>
                <w:highlight w:val="none"/>
                <w:lang w:val="en-US" w:eastAsia="zh-CN" w:bidi="ar-SA"/>
              </w:rPr>
              <w:t>13</w:t>
            </w:r>
            <w:r>
              <w:rPr>
                <w:rFonts w:hint="eastAsia" w:ascii="黑体" w:hAnsi="宋体" w:eastAsia="黑体" w:cs="黑体"/>
                <w:i w:val="0"/>
                <w:iCs w:val="0"/>
                <w:color w:val="000000"/>
                <w:kern w:val="0"/>
                <w:sz w:val="20"/>
                <w:szCs w:val="20"/>
                <w:u w:val="none"/>
                <w:lang w:val="en-US" w:eastAsia="zh-CN" w:bidi="ar"/>
              </w:rPr>
              <w:t>携带污染率：≤ 0.06%</w:t>
            </w:r>
          </w:p>
        </w:tc>
        <w:tc>
          <w:tcPr>
            <w:tcW w:w="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eastAsia="宋体"/>
                <w:lang w:val="en-US" w:eastAsia="zh-CN"/>
              </w:rPr>
            </w:pPr>
            <w:r>
              <w:rPr>
                <w:rFonts w:hint="eastAsia"/>
                <w:lang w:val="en-US" w:eastAsia="zh-CN"/>
              </w:rPr>
              <w:t>5分</w:t>
            </w: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val="en-US" w:eastAsia="zh-CN"/>
              </w:rPr>
              <w:t>（35分）</w:t>
            </w:r>
          </w:p>
        </w:tc>
        <w:tc>
          <w:tcPr>
            <w:tcW w:w="4162" w:type="dxa"/>
            <w:gridSpan w:val="2"/>
            <w:tcBorders>
              <w:top w:val="single" w:color="auto" w:sz="4" w:space="0"/>
              <w:left w:val="single" w:color="auto" w:sz="4" w:space="0"/>
              <w:bottom w:val="single" w:color="auto" w:sz="4" w:space="0"/>
              <w:right w:val="single" w:color="auto" w:sz="4" w:space="0"/>
            </w:tcBorders>
            <w:vAlign w:val="center"/>
          </w:tcPr>
          <w:p>
            <w:pPr>
              <w:pStyle w:val="2"/>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1.技术要求全部满足得35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2"/>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7</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1.75</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pP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4874"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3</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5</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5"/>
        <w:spacing w:beforeLines="50" w:afterLines="50" w:line="415" w:lineRule="auto"/>
        <w:rPr>
          <w:rFonts w:ascii="黑体" w:hAnsi="黑体"/>
          <w:b w:val="0"/>
          <w:sz w:val="28"/>
          <w:szCs w:val="28"/>
          <w:highlight w:val="none"/>
        </w:rPr>
      </w:pPr>
      <w:bookmarkStart w:id="58" w:name="_Toc130661174"/>
      <w:bookmarkStart w:id="59" w:name="_Toc132186971"/>
      <w:bookmarkStart w:id="60" w:name="_Toc128470291"/>
      <w:bookmarkStart w:id="61" w:name="_Toc128154364"/>
      <w:bookmarkStart w:id="62" w:name="_Toc132191255"/>
      <w:bookmarkStart w:id="63" w:name="_Toc6896"/>
      <w:bookmarkStart w:id="64" w:name="_Toc130888003"/>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40分）</w:t>
            </w:r>
          </w:p>
          <w:p>
            <w:pPr>
              <w:widowControl/>
              <w:numPr>
                <w:ilvl w:val="0"/>
                <w:numId w:val="0"/>
              </w:numPr>
              <w:snapToGrid w:val="0"/>
              <w:spacing w:line="276" w:lineRule="auto"/>
              <w:jc w:val="left"/>
              <w:rPr>
                <w:rFonts w:hint="default"/>
                <w:color w:val="auto"/>
                <w:highlight w:val="none"/>
                <w:lang w:val="en-US" w:eastAsia="zh-CN"/>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eastAsia" w:ascii="宋体" w:hAnsi="宋体"/>
                <w:bCs/>
                <w:color w:val="auto"/>
                <w:sz w:val="24"/>
                <w:highlight w:val="none"/>
                <w:lang w:val="en-US" w:eastAsia="zh-CN"/>
              </w:rPr>
              <w:t>设备价格报价最低为基准值</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132191256"/>
      <w:bookmarkStart w:id="66" w:name="_Toc130661175"/>
      <w:bookmarkStart w:id="67" w:name="_Toc132186972"/>
      <w:bookmarkStart w:id="68" w:name="_Toc28382"/>
      <w:bookmarkStart w:id="69" w:name="_Toc128470292"/>
      <w:bookmarkStart w:id="70" w:name="_Toc130888004"/>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val="en-US" w:eastAsia="zh-CN"/>
        </w:rPr>
        <w:t>双激光六色流式细胞仪</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24</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双激光六色流式细胞仪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49</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49</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(四)本项目特定资质材料:报价供应商须提供《医疗器械经营许可证》或经营备案凭证；企业住所或者生产地址为北京地区且销售其注册、备案的医疗器械，可提供《医疗器械生产许可证》。。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11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11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30888005"/>
      <w:bookmarkStart w:id="74" w:name="_Toc21632"/>
      <w:bookmarkStart w:id="75" w:name="_Toc28545"/>
      <w:bookmarkStart w:id="76" w:name="_Toc30564"/>
      <w:bookmarkStart w:id="77" w:name="_Toc32050"/>
      <w:bookmarkStart w:id="78" w:name="_Toc130661176"/>
      <w:bookmarkStart w:id="79" w:name="_Toc128470293"/>
      <w:bookmarkStart w:id="80" w:name="_Toc112768491"/>
      <w:bookmarkStart w:id="81" w:name="_Toc132191257"/>
      <w:bookmarkStart w:id="82" w:name="_Toc9692"/>
      <w:bookmarkStart w:id="83" w:name="_Toc132186973"/>
      <w:bookmarkStart w:id="84" w:name="_Toc112317781"/>
      <w:bookmarkStart w:id="85" w:name="_Toc128154366"/>
      <w:bookmarkStart w:id="86" w:name="_Toc128470295"/>
      <w:bookmarkStart w:id="87" w:name="_Toc128154368"/>
      <w:bookmarkStart w:id="88" w:name="_Toc130888007"/>
      <w:bookmarkStart w:id="89" w:name="_Toc132186975"/>
      <w:bookmarkStart w:id="90" w:name="_Toc132191259"/>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91" w:name="_Toc130887499"/>
      <w:bookmarkStart w:id="92" w:name="_Toc132190633"/>
      <w:bookmarkStart w:id="93" w:name="_Toc128397969"/>
      <w:bookmarkStart w:id="94" w:name="_Toc128151026"/>
      <w:bookmarkStart w:id="95" w:name="_Toc22387"/>
      <w:bookmarkStart w:id="96" w:name="_Toc128150133"/>
      <w:bookmarkStart w:id="97" w:name="_Toc25703"/>
      <w:bookmarkStart w:id="98" w:name="_Toc128150777"/>
      <w:bookmarkStart w:id="99" w:name="_Toc127820563"/>
      <w:bookmarkStart w:id="100" w:name="_Toc30945"/>
      <w:bookmarkStart w:id="101" w:name="_Toc189"/>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91"/>
      <w:bookmarkEnd w:id="92"/>
      <w:bookmarkEnd w:id="93"/>
      <w:bookmarkEnd w:id="94"/>
      <w:bookmarkEnd w:id="95"/>
      <w:bookmarkEnd w:id="96"/>
      <w:bookmarkEnd w:id="97"/>
      <w:bookmarkEnd w:id="98"/>
      <w:bookmarkEnd w:id="99"/>
      <w:bookmarkEnd w:id="100"/>
      <w:bookmarkEnd w:id="101"/>
      <w:r>
        <w:rPr>
          <w:rFonts w:hint="eastAsia"/>
          <w:color w:val="auto"/>
          <w:highlight w:val="none"/>
          <w:lang w:val="en-US" w:eastAsia="zh-CN"/>
        </w:rPr>
        <w:t>（均为实质性响应条款，不接受负偏离）</w:t>
      </w:r>
    </w:p>
    <w:tbl>
      <w:tblPr>
        <w:tblStyle w:val="42"/>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auto"/>
                <w:sz w:val="20"/>
                <w:szCs w:val="20"/>
                <w:u w:val="none"/>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提供不少于2人次、1天的工程师维修培训。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维修响应时间≤6小时，维修到达现场时间≤72小时。</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企业在领取成交通知书前，设备最终谈判报价按附件</w:t>
      </w:r>
      <w:r>
        <w:rPr>
          <w:rFonts w:hint="eastAsia" w:ascii="宋体" w:hAnsi="宋体" w:eastAsia="宋体" w:cs="Times New Roman"/>
          <w:bCs/>
          <w:color w:val="auto"/>
          <w:kern w:val="2"/>
          <w:sz w:val="28"/>
          <w:szCs w:val="28"/>
          <w:highlight w:val="none"/>
          <w:lang w:val="en-US" w:eastAsia="zh-CN" w:bidi="ar-SA"/>
        </w:rPr>
        <w:t>1、2内容重新组价并签字盖章。</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5"/>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5"/>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86"/>
      <w:bookmarkEnd w:id="87"/>
      <w:bookmarkEnd w:id="88"/>
      <w:bookmarkEnd w:id="89"/>
      <w:bookmarkEnd w:id="90"/>
    </w:p>
    <w:tbl>
      <w:tblPr>
        <w:tblStyle w:val="42"/>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 xml:space="preserve">2024-JQ06-W3624 </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双激光六色流式细胞仪</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主要用于淋巴细胞亚群分析，绝对计数，细胞活化，细胞因子，白血病和淋巴瘤的免疫分型，残留白血病细胞检查，血小板活化及相关疾病，造血干细胞计数，HLA-B27强制性脊柱炎检测等方面的检测以及研究。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iCs w:val="0"/>
                <w:color w:val="auto"/>
                <w:sz w:val="20"/>
                <w:szCs w:val="20"/>
                <w:u w:val="none"/>
                <w:lang w:val="en-US"/>
              </w:rPr>
            </w:pPr>
            <w:r>
              <w:rPr>
                <w:rFonts w:hint="eastAsia" w:ascii="黑体" w:hAnsi="宋体" w:eastAsia="黑体" w:cs="黑体"/>
                <w:i w:val="0"/>
                <w:color w:val="000000"/>
                <w:kern w:val="0"/>
                <w:sz w:val="18"/>
                <w:szCs w:val="18"/>
                <w:u w:val="none"/>
                <w:lang w:val="en-US" w:eastAsia="zh-CN" w:bidi="ar"/>
              </w:rPr>
              <w:t>彩页、网站或制造商技术资料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标准规范1</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提供认证证书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标准规范2</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具备FDA认证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提供认证证书及其中文翻译件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标准规范3</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具备ISO13485认证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b w:val="0"/>
                <w:bCs w:val="0"/>
                <w:i w:val="0"/>
                <w:iCs w:val="0"/>
                <w:color w:val="auto"/>
                <w:sz w:val="20"/>
                <w:szCs w:val="20"/>
                <w:highlight w:val="yellow"/>
                <w:u w:val="none"/>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激光器配置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≥3根固态激光器，激光器波长包含488nm、635±5nm、405nm。</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彩页/制造商官网截图/制造商技术资料/配置清单证明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检测通道</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≥11个荧光检测通道；荧光通道检测器采用PMT,非APD或FADP</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highlight w:val="yellow"/>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彩页/制造商官网截图/制造商技术资料证明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检测参数</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同时检测参数≥13个，包含前向散光、侧向散光及≥12色荧光参数，可选择参数≥60个，每个滤光片嵌入芯片可自动监测样本与滤光片匹配的正确性。</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彩页/制造商官网截图/制造商技术资料/配置清单证明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检测颗粒范围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颗粒检测大小：0.3</w:t>
            </w:r>
            <w:r>
              <w:rPr>
                <w:rFonts w:ascii="Calibri" w:hAnsi="Calibri" w:eastAsia="黑体" w:cs="Calibri"/>
                <w:i w:val="0"/>
                <w:color w:val="000000"/>
                <w:kern w:val="0"/>
                <w:sz w:val="20"/>
                <w:szCs w:val="20"/>
                <w:u w:val="none"/>
                <w:lang w:val="en-US" w:eastAsia="zh-CN" w:bidi="ar"/>
              </w:rPr>
              <w:t>μ</w:t>
            </w:r>
            <w:r>
              <w:rPr>
                <w:rFonts w:hint="eastAsia" w:ascii="黑体" w:hAnsi="宋体" w:eastAsia="黑体" w:cs="黑体"/>
                <w:i w:val="0"/>
                <w:color w:val="000000"/>
                <w:kern w:val="0"/>
                <w:sz w:val="20"/>
                <w:szCs w:val="20"/>
                <w:u w:val="none"/>
                <w:lang w:val="en-US" w:eastAsia="zh-CN" w:bidi="ar"/>
              </w:rPr>
              <w:t>m（min）-50</w:t>
            </w:r>
            <w:r>
              <w:rPr>
                <w:rFonts w:ascii="Calibri" w:hAnsi="Calibri" w:eastAsia="黑体" w:cs="Calibri"/>
                <w:i w:val="0"/>
                <w:color w:val="000000"/>
                <w:kern w:val="0"/>
                <w:sz w:val="20"/>
                <w:szCs w:val="20"/>
                <w:u w:val="none"/>
                <w:lang w:val="en-US" w:eastAsia="zh-CN" w:bidi="ar"/>
              </w:rPr>
              <w:t>μ</w:t>
            </w:r>
            <w:r>
              <w:rPr>
                <w:rFonts w:hint="eastAsia" w:ascii="黑体" w:hAnsi="宋体" w:eastAsia="黑体" w:cs="黑体"/>
                <w:i w:val="0"/>
                <w:color w:val="000000"/>
                <w:kern w:val="0"/>
                <w:sz w:val="20"/>
                <w:szCs w:val="20"/>
                <w:u w:val="none"/>
                <w:lang w:val="en-US" w:eastAsia="zh-CN" w:bidi="ar"/>
              </w:rPr>
              <w:t>m（max）。</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荧光检测灵敏度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FITC≤90MESF、PE≤30MESF。</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iCs w:val="0"/>
                <w:color w:val="auto"/>
                <w:sz w:val="20"/>
                <w:szCs w:val="20"/>
                <w:u w:val="none"/>
                <w:lang w:val="en-US"/>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数据处理能力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具有实验室标准化数据处理能力，不同实验室实验条件传输，可通过USB传输的方式传送给另一台同类型仪器。</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彩页/制造商官网截图/使用说明书证明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荧光补偿系统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可实时补偿、脱机补偿和全自动智能荧光补偿，自动补偿一次</w:t>
            </w:r>
            <w:r>
              <w:rPr>
                <w:rFonts w:hint="eastAsia" w:ascii="黑体" w:hAnsi="宋体" w:eastAsia="黑体" w:cs="黑体"/>
                <w:i w:val="0"/>
                <w:color w:val="auto"/>
                <w:kern w:val="0"/>
                <w:sz w:val="20"/>
                <w:szCs w:val="20"/>
                <w:u w:val="none"/>
                <w:lang w:val="en-US" w:eastAsia="zh-CN" w:bidi="ar"/>
              </w:rPr>
              <w:t>至少5</w:t>
            </w:r>
            <w:r>
              <w:rPr>
                <w:rFonts w:hint="eastAsia" w:ascii="黑体" w:hAnsi="宋体" w:eastAsia="黑体" w:cs="黑体"/>
                <w:i w:val="0"/>
                <w:color w:val="000000"/>
                <w:kern w:val="0"/>
                <w:sz w:val="20"/>
                <w:szCs w:val="20"/>
                <w:u w:val="none"/>
                <w:lang w:val="en-US" w:eastAsia="zh-CN" w:bidi="ar"/>
              </w:rPr>
              <w:t>0天内有效，增加荧光染料无需每个荧光重新补偿，只需新增荧光上样即可，可实现调节电压，补偿自动计算。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技术说明书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细胞分析速度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≥32000细胞/秒；单个文件数据收集量无上限。</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自动上样系统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配置自动上样装置全自动上样，兼容38管流式管架以及96孔和384孔板，可使用12x75mm流式管、0.5mL离心管等。</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18"/>
                <w:szCs w:val="18"/>
                <w:u w:val="none"/>
                <w:lang w:val="en-US" w:eastAsia="zh-CN" w:bidi="ar"/>
              </w:rPr>
              <w:t>彩页/制造商官网截图/制造商技术资料/配置清单证明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样本检测速度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样本流速连续可调，并预设有档位；核心液流速≥5.1m/S，最小上样体积≤35</w:t>
            </w:r>
            <w:r>
              <w:rPr>
                <w:rFonts w:ascii="Calibri" w:hAnsi="Calibri" w:eastAsia="黑体" w:cs="Calibri"/>
                <w:i w:val="0"/>
                <w:color w:val="000000"/>
                <w:kern w:val="0"/>
                <w:sz w:val="20"/>
                <w:szCs w:val="20"/>
                <w:u w:val="none"/>
                <w:lang w:val="en-US" w:eastAsia="zh-CN" w:bidi="ar"/>
              </w:rPr>
              <w:t>μ</w:t>
            </w:r>
            <w:r>
              <w:rPr>
                <w:rFonts w:hint="eastAsia" w:ascii="黑体" w:hAnsi="宋体" w:eastAsia="黑体" w:cs="黑体"/>
                <w:i w:val="0"/>
                <w:color w:val="000000"/>
                <w:kern w:val="0"/>
                <w:sz w:val="20"/>
                <w:szCs w:val="20"/>
                <w:u w:val="none"/>
                <w:lang w:val="en-US" w:eastAsia="zh-CN" w:bidi="ar"/>
              </w:rPr>
              <w:t>l。</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val="0"/>
                <w:bCs w:val="0"/>
                <w:i w:val="0"/>
                <w:iCs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color w:val="000000"/>
                <w:kern w:val="0"/>
                <w:sz w:val="20"/>
                <w:szCs w:val="20"/>
                <w:u w:val="none"/>
                <w:lang w:val="en-US" w:eastAsia="zh-CN" w:bidi="ar"/>
              </w:rPr>
              <w:t>携带污染率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color w:val="000000"/>
                <w:kern w:val="0"/>
                <w:sz w:val="20"/>
                <w:szCs w:val="20"/>
                <w:u w:val="none"/>
                <w:lang w:val="en-US" w:eastAsia="zh-CN" w:bidi="ar"/>
              </w:rPr>
              <w:t>≤ 0.06%。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color w:val="000000"/>
                <w:kern w:val="0"/>
                <w:sz w:val="20"/>
                <w:szCs w:val="20"/>
                <w:highlight w:val="yellow"/>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color w:val="000000"/>
                <w:kern w:val="0"/>
                <w:sz w:val="18"/>
                <w:szCs w:val="18"/>
                <w:u w:val="none"/>
                <w:lang w:val="en-US" w:eastAsia="zh-CN" w:bidi="ar"/>
              </w:rPr>
              <w:t>彩页/制造商官网截图/盖章制造商公开发行技术文件证明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color w:val="000000"/>
                <w:kern w:val="0"/>
                <w:sz w:val="20"/>
                <w:szCs w:val="20"/>
                <w:u w:val="none"/>
                <w:lang w:val="en-US" w:eastAsia="zh-CN" w:bidi="ar"/>
              </w:rPr>
              <w:t>审计追踪功能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i w:val="0"/>
                <w:iCs w:val="0"/>
                <w:color w:val="auto"/>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i w:val="0"/>
                <w:iCs w:val="0"/>
                <w:color w:val="auto"/>
              </w:rPr>
            </w:pPr>
            <w:r>
              <w:rPr>
                <w:rFonts w:hint="eastAsia" w:ascii="黑体" w:hAnsi="宋体" w:eastAsia="黑体" w:cs="黑体"/>
                <w:i w:val="0"/>
                <w:color w:val="000000"/>
                <w:kern w:val="0"/>
                <w:sz w:val="20"/>
                <w:szCs w:val="20"/>
                <w:u w:val="none"/>
                <w:lang w:val="en-US" w:eastAsia="zh-CN" w:bidi="ar"/>
              </w:rPr>
              <w:t>具备标准的21 CFR Part11认证，可实现实验室分级管理及审计追踪功能。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i w:val="0"/>
                <w:iCs w:val="0"/>
                <w:color w:val="auto"/>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i w:val="0"/>
                <w:iCs w:val="0"/>
                <w:color w:va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47"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液流系统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真空泵上样，非蠕动泵或注射泵，配置大容量鞘液桶。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18"/>
                <w:szCs w:val="18"/>
                <w:u w:val="none"/>
                <w:lang w:val="en-US" w:eastAsia="zh-CN" w:bidi="ar"/>
              </w:rPr>
              <w:t>彩页/制造商官网截图/制造商技术资料证明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工作站操作系统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i5及以上处理器，内存≥16GB，硬件存储≥512GB，可实现仪器联机、仪器控制，配置原厂软件和正版办公软件。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000000"/>
                <w:kern w:val="0"/>
                <w:sz w:val="18"/>
                <w:szCs w:val="18"/>
                <w:u w:val="none"/>
                <w:lang w:val="en-US" w:eastAsia="zh-CN" w:bidi="ar"/>
              </w:rPr>
              <w:t>配置清单及供货清单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分析软件</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可完成数据获取分析和仪器控制的全部功能，具备科研和临床两套软件，可时间临床自动出报告功能。软件可兼容预约关机、自动清洗以及质控功能；具备仪器全程质量控制体系，可自动检测和长期跟踪仪器性能Br、Qr等参数微量变化，生成≥18项参数的Levey-Jennings质控图。</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18"/>
                <w:szCs w:val="18"/>
                <w:u w:val="none"/>
                <w:lang w:val="en-US" w:eastAsia="zh-CN" w:bidi="ar"/>
              </w:rPr>
              <w:t>彩页/软件截图证明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流式细胞仪主机1台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数据获取分析软件1套</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工作站 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32英寸液晶显示器1台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稳压电源1台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质控微球1套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18"/>
                <w:szCs w:val="18"/>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开放耗材</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color w:val="auto"/>
                <w:kern w:val="0"/>
                <w:sz w:val="18"/>
                <w:szCs w:val="18"/>
                <w:u w:val="none"/>
                <w:lang w:val="en-US" w:eastAsia="zh-CN" w:bidi="ar"/>
              </w:rPr>
              <w:t>厂家或企业承诺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122"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验收标准方法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color w:val="000000"/>
                <w:kern w:val="0"/>
                <w:sz w:val="18"/>
                <w:szCs w:val="18"/>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▲标识的指标负偏离≥3项，投标企业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▲标识的指标和“无标识”指标负偏离≥5项，投标企业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供应商资格</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具备医疗器械生产或者经营的许可证或者备案凭证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pStyle w:val="17"/>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31554"/>
      <w:bookmarkStart w:id="103" w:name="_Toc112768494"/>
      <w:bookmarkStart w:id="104" w:name="_Toc2550"/>
      <w:bookmarkStart w:id="105" w:name="_Toc27977"/>
      <w:bookmarkStart w:id="106" w:name="_Toc7226"/>
      <w:bookmarkStart w:id="107" w:name="_Toc17172"/>
      <w:bookmarkStart w:id="108" w:name="_Toc130661177"/>
      <w:bookmarkStart w:id="109" w:name="_Toc128154369"/>
      <w:bookmarkStart w:id="110" w:name="_Toc132191260"/>
      <w:bookmarkStart w:id="111" w:name="_Toc130888008"/>
      <w:bookmarkStart w:id="112" w:name="_Toc128470296"/>
      <w:bookmarkStart w:id="113" w:name="_Toc132186976"/>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5775"/>
      <w:bookmarkStart w:id="115" w:name="_Toc130888009"/>
      <w:bookmarkStart w:id="116" w:name="_Toc132191261"/>
      <w:bookmarkStart w:id="117" w:name="_Toc128470297"/>
      <w:bookmarkStart w:id="118" w:name="_Toc25715"/>
      <w:bookmarkStart w:id="119" w:name="_Toc20706"/>
      <w:bookmarkStart w:id="120" w:name="_Toc20638"/>
      <w:bookmarkStart w:id="121" w:name="_Toc9762"/>
      <w:bookmarkStart w:id="122" w:name="_Toc130661178"/>
      <w:bookmarkStart w:id="123" w:name="_Toc128154370"/>
      <w:bookmarkStart w:id="124" w:name="_Toc132186977"/>
      <w:bookmarkStart w:id="125" w:name="_Toc112768495"/>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130661179"/>
      <w:bookmarkStart w:id="127" w:name="_Toc3957"/>
      <w:bookmarkStart w:id="128" w:name="_Toc21913"/>
      <w:bookmarkStart w:id="129" w:name="_Toc128470298"/>
      <w:bookmarkStart w:id="130" w:name="_Toc7592"/>
      <w:bookmarkStart w:id="131" w:name="_Toc128154371"/>
      <w:bookmarkStart w:id="132" w:name="_Toc22250"/>
      <w:bookmarkStart w:id="133" w:name="_Toc12507"/>
      <w:bookmarkStart w:id="134" w:name="_Toc112768496"/>
      <w:bookmarkStart w:id="135" w:name="_Toc2697"/>
      <w:bookmarkStart w:id="136" w:name="_Toc28273"/>
      <w:bookmarkStart w:id="137" w:name="_Toc7039"/>
      <w:bookmarkStart w:id="138" w:name="_Toc132186978"/>
      <w:bookmarkStart w:id="139" w:name="_Toc9283"/>
      <w:bookmarkStart w:id="140" w:name="_Toc130888010"/>
      <w:bookmarkStart w:id="141" w:name="_Toc132191262"/>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19051"/>
      <w:bookmarkStart w:id="143" w:name="_Toc132191263"/>
      <w:bookmarkStart w:id="144" w:name="_Toc7115"/>
      <w:bookmarkStart w:id="145" w:name="_Toc23995"/>
      <w:bookmarkStart w:id="146" w:name="_Toc130661180"/>
      <w:bookmarkStart w:id="147" w:name="_Toc2301"/>
      <w:bookmarkStart w:id="148" w:name="_Toc15844"/>
      <w:bookmarkStart w:id="149" w:name="_Toc112768497"/>
      <w:bookmarkStart w:id="150" w:name="_Toc18208"/>
      <w:bookmarkStart w:id="151" w:name="_Toc128154372"/>
      <w:bookmarkStart w:id="152" w:name="_Toc12001"/>
      <w:bookmarkStart w:id="153" w:name="_Toc31837"/>
      <w:bookmarkStart w:id="154" w:name="_Toc128470299"/>
      <w:bookmarkStart w:id="155" w:name="_Toc23458"/>
      <w:bookmarkStart w:id="156" w:name="_Toc132186979"/>
      <w:bookmarkStart w:id="157" w:name="_Toc130888011"/>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28470300"/>
      <w:bookmarkStart w:id="159" w:name="_Toc132186980"/>
      <w:bookmarkStart w:id="160" w:name="_Toc130888012"/>
      <w:bookmarkStart w:id="161" w:name="_Toc121216200"/>
      <w:bookmarkStart w:id="162" w:name="_Toc130661181"/>
      <w:bookmarkStart w:id="163" w:name="_Toc132191264"/>
      <w:bookmarkStart w:id="164" w:name="_Toc128154373"/>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1216201"/>
      <w:bookmarkStart w:id="166" w:name="_Toc130888013"/>
      <w:bookmarkStart w:id="167" w:name="_Toc132191265"/>
      <w:bookmarkStart w:id="168" w:name="_Toc128154374"/>
      <w:bookmarkStart w:id="169" w:name="_Toc130661182"/>
      <w:bookmarkStart w:id="170" w:name="_Toc132186981"/>
      <w:bookmarkStart w:id="171" w:name="_Toc1284703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28470302"/>
      <w:bookmarkStart w:id="173" w:name="_Toc128154375"/>
      <w:bookmarkStart w:id="174" w:name="_Toc130661183"/>
      <w:bookmarkStart w:id="175" w:name="_Toc132191266"/>
      <w:bookmarkStart w:id="176" w:name="_Toc132186982"/>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30661184"/>
      <w:bookmarkStart w:id="179" w:name="_Toc132186983"/>
      <w:bookmarkStart w:id="180" w:name="_Toc128470303"/>
      <w:bookmarkStart w:id="181" w:name="_Toc128154376"/>
      <w:bookmarkStart w:id="182" w:name="_Toc132191267"/>
      <w:bookmarkStart w:id="183" w:name="_Toc130888015"/>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2191268"/>
      <w:bookmarkStart w:id="185" w:name="_Toc128470304"/>
      <w:bookmarkStart w:id="186" w:name="_Toc130661185"/>
      <w:bookmarkStart w:id="187" w:name="_Toc15635"/>
      <w:bookmarkStart w:id="188" w:name="_Toc26597"/>
      <w:bookmarkStart w:id="189" w:name="_Toc32477"/>
      <w:bookmarkStart w:id="190" w:name="_Toc24432"/>
      <w:bookmarkStart w:id="191" w:name="_Toc132186984"/>
      <w:bookmarkStart w:id="192" w:name="_Toc128154377"/>
      <w:bookmarkStart w:id="193" w:name="_Toc130888016"/>
      <w:bookmarkStart w:id="194" w:name="_Toc112768500"/>
      <w:bookmarkStart w:id="195" w:name="_Toc996"/>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28703"/>
      <w:bookmarkStart w:id="197" w:name="_Toc132186985"/>
      <w:bookmarkStart w:id="198" w:name="_Toc132191269"/>
      <w:bookmarkStart w:id="199" w:name="_Toc130661186"/>
      <w:bookmarkStart w:id="200" w:name="_Toc130888017"/>
      <w:bookmarkStart w:id="201" w:name="_Toc128470305"/>
      <w:bookmarkStart w:id="202" w:name="_Toc14862"/>
      <w:bookmarkStart w:id="203" w:name="_Toc121216205"/>
      <w:bookmarkStart w:id="204" w:name="_Toc10300"/>
      <w:bookmarkStart w:id="205" w:name="_Toc128154378"/>
      <w:bookmarkStart w:id="206" w:name="_Toc32494"/>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128470306"/>
      <w:bookmarkStart w:id="208" w:name="_Toc16995"/>
      <w:bookmarkStart w:id="209" w:name="_Toc8142"/>
      <w:bookmarkStart w:id="210" w:name="_Toc14394"/>
      <w:bookmarkStart w:id="211" w:name="_Toc128154379"/>
      <w:bookmarkStart w:id="212" w:name="_Toc130888018"/>
      <w:bookmarkStart w:id="213" w:name="_Toc132186986"/>
      <w:bookmarkStart w:id="214" w:name="_Toc7334"/>
      <w:bookmarkStart w:id="215" w:name="_Toc132191270"/>
      <w:bookmarkStart w:id="216" w:name="_Toc130661187"/>
      <w:bookmarkStart w:id="217" w:name="_Toc121216206"/>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25665"/>
      <w:bookmarkStart w:id="219" w:name="_Toc15882"/>
      <w:bookmarkStart w:id="220" w:name="_Toc21465"/>
      <w:bookmarkStart w:id="221" w:name="_Toc128154380"/>
      <w:bookmarkStart w:id="222" w:name="_Toc130888019"/>
      <w:bookmarkStart w:id="223" w:name="_Toc132191271"/>
      <w:bookmarkStart w:id="224" w:name="_Toc23845"/>
      <w:bookmarkStart w:id="225" w:name="_Toc132186987"/>
      <w:bookmarkStart w:id="226" w:name="_Toc128470307"/>
      <w:bookmarkStart w:id="227" w:name="_Toc130661188"/>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ind w:firstLine="420" w:firstLineChars="200"/>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报价供应商须提供《医疗器械经营许可证》或经营备案凭证；企业住所或者生产地址为北京地区且销售其注册、备案的医疗器械，可提供《医疗器械生产许可证》。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6"/>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2"/>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如流式细胞仪主机1台</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sz w:val="21"/>
                <w:highlight w:val="none"/>
                <w:lang w:val="en-US" w:eastAsia="zh-CN"/>
              </w:rPr>
              <w:t>.......</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b w:val="0"/>
          <w:highlight w:val="none"/>
        </w:rPr>
        <w:br w:type="page"/>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2"/>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29"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29"/>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4A7B1C"/>
    <w:rsid w:val="02505BBF"/>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862387"/>
    <w:rsid w:val="07C949EF"/>
    <w:rsid w:val="07F20B13"/>
    <w:rsid w:val="08000695"/>
    <w:rsid w:val="08BA04CF"/>
    <w:rsid w:val="093E2FA0"/>
    <w:rsid w:val="09673E3C"/>
    <w:rsid w:val="09E779EB"/>
    <w:rsid w:val="0A7A0DEE"/>
    <w:rsid w:val="0A893535"/>
    <w:rsid w:val="0A8F788E"/>
    <w:rsid w:val="0AAE4A96"/>
    <w:rsid w:val="0AC666F4"/>
    <w:rsid w:val="0BE24C15"/>
    <w:rsid w:val="0BFE1539"/>
    <w:rsid w:val="0C3628D7"/>
    <w:rsid w:val="0CD3116D"/>
    <w:rsid w:val="0D386468"/>
    <w:rsid w:val="0D6E6CE6"/>
    <w:rsid w:val="0E06452B"/>
    <w:rsid w:val="0E4A77DC"/>
    <w:rsid w:val="0E577D2E"/>
    <w:rsid w:val="0E6F3E7F"/>
    <w:rsid w:val="0E713A23"/>
    <w:rsid w:val="0E87566C"/>
    <w:rsid w:val="0E9F5982"/>
    <w:rsid w:val="0EB94C51"/>
    <w:rsid w:val="0ED14AB9"/>
    <w:rsid w:val="0EE76E01"/>
    <w:rsid w:val="0F16079E"/>
    <w:rsid w:val="0F5B057E"/>
    <w:rsid w:val="0F856602"/>
    <w:rsid w:val="0FF10C12"/>
    <w:rsid w:val="100D7F0C"/>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783147"/>
    <w:rsid w:val="1BE11CE9"/>
    <w:rsid w:val="1C2D1651"/>
    <w:rsid w:val="1C6B059D"/>
    <w:rsid w:val="1CB32E02"/>
    <w:rsid w:val="1D0E6F59"/>
    <w:rsid w:val="1DA85478"/>
    <w:rsid w:val="1DD23B6F"/>
    <w:rsid w:val="1DD3548B"/>
    <w:rsid w:val="1DE01BE2"/>
    <w:rsid w:val="1DED21D8"/>
    <w:rsid w:val="1E470A31"/>
    <w:rsid w:val="1E763FBB"/>
    <w:rsid w:val="1E7B1372"/>
    <w:rsid w:val="1EAB0E98"/>
    <w:rsid w:val="1F0E3DA5"/>
    <w:rsid w:val="1F1442A1"/>
    <w:rsid w:val="1F7F74E9"/>
    <w:rsid w:val="1FB2006F"/>
    <w:rsid w:val="202F2035"/>
    <w:rsid w:val="205F5ACC"/>
    <w:rsid w:val="20CE49AC"/>
    <w:rsid w:val="217F21D3"/>
    <w:rsid w:val="2180567D"/>
    <w:rsid w:val="21921BD1"/>
    <w:rsid w:val="21C61BB0"/>
    <w:rsid w:val="21ED35E0"/>
    <w:rsid w:val="22C35EAF"/>
    <w:rsid w:val="22C80A00"/>
    <w:rsid w:val="22C975B7"/>
    <w:rsid w:val="22DD59F0"/>
    <w:rsid w:val="22F75C0D"/>
    <w:rsid w:val="23064301"/>
    <w:rsid w:val="230C5CE8"/>
    <w:rsid w:val="23DB58A8"/>
    <w:rsid w:val="23DF2552"/>
    <w:rsid w:val="23EC2634"/>
    <w:rsid w:val="23F064FA"/>
    <w:rsid w:val="241053A1"/>
    <w:rsid w:val="2432177F"/>
    <w:rsid w:val="245060A9"/>
    <w:rsid w:val="24C20D54"/>
    <w:rsid w:val="25114177"/>
    <w:rsid w:val="25C96113"/>
    <w:rsid w:val="25DC4792"/>
    <w:rsid w:val="26097A28"/>
    <w:rsid w:val="268E66B0"/>
    <w:rsid w:val="26C7241E"/>
    <w:rsid w:val="26CB345B"/>
    <w:rsid w:val="26CC5F32"/>
    <w:rsid w:val="271D4472"/>
    <w:rsid w:val="271D5F0A"/>
    <w:rsid w:val="27380A52"/>
    <w:rsid w:val="27512060"/>
    <w:rsid w:val="276C144B"/>
    <w:rsid w:val="27E44D0D"/>
    <w:rsid w:val="27FA718D"/>
    <w:rsid w:val="287D3B77"/>
    <w:rsid w:val="288C0557"/>
    <w:rsid w:val="290F7096"/>
    <w:rsid w:val="29572720"/>
    <w:rsid w:val="29785528"/>
    <w:rsid w:val="29995D3D"/>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E91066C"/>
    <w:rsid w:val="2EE73FC3"/>
    <w:rsid w:val="2F5015CC"/>
    <w:rsid w:val="2F716E18"/>
    <w:rsid w:val="2F8301FF"/>
    <w:rsid w:val="300A4285"/>
    <w:rsid w:val="300B11EA"/>
    <w:rsid w:val="307C1216"/>
    <w:rsid w:val="30843362"/>
    <w:rsid w:val="30CA6DC7"/>
    <w:rsid w:val="310060D1"/>
    <w:rsid w:val="31614243"/>
    <w:rsid w:val="323B399B"/>
    <w:rsid w:val="326276D3"/>
    <w:rsid w:val="32701EF4"/>
    <w:rsid w:val="327373DF"/>
    <w:rsid w:val="32B258B7"/>
    <w:rsid w:val="33900F89"/>
    <w:rsid w:val="339A10EE"/>
    <w:rsid w:val="33B757FC"/>
    <w:rsid w:val="33B83430"/>
    <w:rsid w:val="3437693D"/>
    <w:rsid w:val="34DF1DA7"/>
    <w:rsid w:val="34F4272D"/>
    <w:rsid w:val="34FA5C45"/>
    <w:rsid w:val="35706796"/>
    <w:rsid w:val="35A55262"/>
    <w:rsid w:val="35C91DF7"/>
    <w:rsid w:val="36623A07"/>
    <w:rsid w:val="368E7B3A"/>
    <w:rsid w:val="3699568D"/>
    <w:rsid w:val="36BF48E5"/>
    <w:rsid w:val="36CA5847"/>
    <w:rsid w:val="37141D64"/>
    <w:rsid w:val="371F2036"/>
    <w:rsid w:val="37602AF2"/>
    <w:rsid w:val="37FA4622"/>
    <w:rsid w:val="380C6B8B"/>
    <w:rsid w:val="3816405B"/>
    <w:rsid w:val="38593F37"/>
    <w:rsid w:val="38A7470F"/>
    <w:rsid w:val="38C26B8B"/>
    <w:rsid w:val="38DF20AF"/>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8128AE"/>
    <w:rsid w:val="3ED25651"/>
    <w:rsid w:val="3EE746A5"/>
    <w:rsid w:val="3FC312FA"/>
    <w:rsid w:val="402D6024"/>
    <w:rsid w:val="40442077"/>
    <w:rsid w:val="405F5F3D"/>
    <w:rsid w:val="40724C8A"/>
    <w:rsid w:val="407B4428"/>
    <w:rsid w:val="408B0DE3"/>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3DD24AE"/>
    <w:rsid w:val="4420585E"/>
    <w:rsid w:val="4427077C"/>
    <w:rsid w:val="448252F0"/>
    <w:rsid w:val="450300EA"/>
    <w:rsid w:val="45534CF8"/>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AF78C9"/>
    <w:rsid w:val="4EB94800"/>
    <w:rsid w:val="4F216BBF"/>
    <w:rsid w:val="4F945E00"/>
    <w:rsid w:val="4F9A62A6"/>
    <w:rsid w:val="4FD44A3C"/>
    <w:rsid w:val="50F32112"/>
    <w:rsid w:val="514D61C2"/>
    <w:rsid w:val="518A6447"/>
    <w:rsid w:val="52094361"/>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5E42A1F"/>
    <w:rsid w:val="56014384"/>
    <w:rsid w:val="565B21A0"/>
    <w:rsid w:val="56710C02"/>
    <w:rsid w:val="568E7108"/>
    <w:rsid w:val="56CE6835"/>
    <w:rsid w:val="572A5C41"/>
    <w:rsid w:val="572B120F"/>
    <w:rsid w:val="57580F21"/>
    <w:rsid w:val="581D0BB1"/>
    <w:rsid w:val="58246C6C"/>
    <w:rsid w:val="5843302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D06436"/>
    <w:rsid w:val="5E714676"/>
    <w:rsid w:val="5E9D546B"/>
    <w:rsid w:val="5EAD0BB0"/>
    <w:rsid w:val="5EB7747A"/>
    <w:rsid w:val="5ED209B4"/>
    <w:rsid w:val="5F575DAD"/>
    <w:rsid w:val="5F690E4C"/>
    <w:rsid w:val="601F69F6"/>
    <w:rsid w:val="60752C67"/>
    <w:rsid w:val="60936C2E"/>
    <w:rsid w:val="612754C0"/>
    <w:rsid w:val="613A3445"/>
    <w:rsid w:val="616049DB"/>
    <w:rsid w:val="61831D11"/>
    <w:rsid w:val="61C14B50"/>
    <w:rsid w:val="61DC2CD7"/>
    <w:rsid w:val="61FE3C40"/>
    <w:rsid w:val="6235591B"/>
    <w:rsid w:val="62395966"/>
    <w:rsid w:val="62B17737"/>
    <w:rsid w:val="63415520"/>
    <w:rsid w:val="636150A9"/>
    <w:rsid w:val="637D05D7"/>
    <w:rsid w:val="63D716EC"/>
    <w:rsid w:val="63EE6769"/>
    <w:rsid w:val="640F0BB9"/>
    <w:rsid w:val="646C70CD"/>
    <w:rsid w:val="650F19B1"/>
    <w:rsid w:val="6562503C"/>
    <w:rsid w:val="65A611E5"/>
    <w:rsid w:val="663B22BC"/>
    <w:rsid w:val="663F7051"/>
    <w:rsid w:val="664820E2"/>
    <w:rsid w:val="669C693E"/>
    <w:rsid w:val="66A9597C"/>
    <w:rsid w:val="66AB3A44"/>
    <w:rsid w:val="66C876C1"/>
    <w:rsid w:val="670F4827"/>
    <w:rsid w:val="676A4F57"/>
    <w:rsid w:val="67B5251D"/>
    <w:rsid w:val="67C365D4"/>
    <w:rsid w:val="67E548D9"/>
    <w:rsid w:val="67FB1CE0"/>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43112D"/>
    <w:rsid w:val="73965D07"/>
    <w:rsid w:val="739E3D02"/>
    <w:rsid w:val="73BD1BDB"/>
    <w:rsid w:val="740551C7"/>
    <w:rsid w:val="74A159DA"/>
    <w:rsid w:val="756E3C30"/>
    <w:rsid w:val="75FF5737"/>
    <w:rsid w:val="76796366"/>
    <w:rsid w:val="769D686B"/>
    <w:rsid w:val="77662A1A"/>
    <w:rsid w:val="78064733"/>
    <w:rsid w:val="781656AF"/>
    <w:rsid w:val="78FC0EC8"/>
    <w:rsid w:val="792602AC"/>
    <w:rsid w:val="7A034A4E"/>
    <w:rsid w:val="7A3A36CD"/>
    <w:rsid w:val="7A4153ED"/>
    <w:rsid w:val="7ABD27F2"/>
    <w:rsid w:val="7ADE0C6C"/>
    <w:rsid w:val="7AE75AE5"/>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62</Pages>
  <Words>20725</Words>
  <Characters>22013</Characters>
  <Lines>339</Lines>
  <Paragraphs>95</Paragraphs>
  <TotalTime>0</TotalTime>
  <ScaleCrop>false</ScaleCrop>
  <LinksUpToDate>false</LinksUpToDate>
  <CharactersWithSpaces>24389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2025-05-09T08:02:00Z</cp:lastPrinted>
  <dcterms:modified xsi:type="dcterms:W3CDTF">2025-05-19T08:07:51Z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